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AFA072">
      <w:pPr>
        <w:jc w:val="center"/>
        <w:rPr>
          <w:rFonts w:hint="eastAsia"/>
          <w:b/>
          <w:bCs/>
          <w:sz w:val="44"/>
          <w:szCs w:val="44"/>
          <w:lang w:eastAsia="zh-CN"/>
        </w:rPr>
      </w:pPr>
    </w:p>
    <w:p w14:paraId="571EA68B">
      <w:pPr>
        <w:jc w:val="center"/>
        <w:rPr>
          <w:rFonts w:hint="eastAsia"/>
          <w:b/>
          <w:bCs/>
          <w:sz w:val="44"/>
          <w:szCs w:val="44"/>
          <w:lang w:eastAsia="zh-CN"/>
        </w:rPr>
      </w:pPr>
    </w:p>
    <w:p w14:paraId="5A6516FB">
      <w:pPr>
        <w:jc w:val="center"/>
        <w:rPr>
          <w:b/>
          <w:bCs/>
          <w:sz w:val="44"/>
          <w:szCs w:val="44"/>
        </w:rPr>
      </w:pPr>
      <w:r>
        <w:rPr>
          <w:rFonts w:hint="eastAsia"/>
          <w:b/>
          <w:bCs/>
          <w:sz w:val="44"/>
          <w:szCs w:val="44"/>
          <w:lang w:eastAsia="zh-CN"/>
        </w:rPr>
        <w:t>《</w:t>
      </w:r>
      <w:r>
        <w:rPr>
          <w:rFonts w:hint="eastAsia"/>
          <w:b/>
          <w:bCs/>
          <w:sz w:val="44"/>
          <w:szCs w:val="44"/>
          <w:lang w:val="en-US" w:eastAsia="zh-CN"/>
        </w:rPr>
        <w:t>桑芽茶加工技术规程</w:t>
      </w:r>
      <w:r>
        <w:rPr>
          <w:rFonts w:hint="eastAsia"/>
          <w:b/>
          <w:bCs/>
          <w:sz w:val="44"/>
          <w:szCs w:val="44"/>
          <w:lang w:eastAsia="zh-CN"/>
        </w:rPr>
        <w:t>》</w:t>
      </w:r>
    </w:p>
    <w:p w14:paraId="56B46050">
      <w:pPr>
        <w:jc w:val="center"/>
        <w:rPr>
          <w:b/>
          <w:bCs/>
          <w:sz w:val="44"/>
          <w:szCs w:val="44"/>
        </w:rPr>
      </w:pPr>
      <w:r>
        <w:rPr>
          <w:rFonts w:hint="eastAsia"/>
          <w:b/>
          <w:bCs/>
          <w:sz w:val="44"/>
          <w:szCs w:val="44"/>
        </w:rPr>
        <w:t>地方标准编制说明</w:t>
      </w:r>
    </w:p>
    <w:p w14:paraId="21DDD506">
      <w:pPr>
        <w:ind w:firstLine="640" w:firstLineChars="200"/>
        <w:rPr>
          <w:rFonts w:ascii="黑体" w:eastAsia="黑体"/>
          <w:sz w:val="32"/>
          <w:szCs w:val="32"/>
        </w:rPr>
      </w:pPr>
    </w:p>
    <w:p w14:paraId="700720BD">
      <w:pPr>
        <w:numPr>
          <w:ilvl w:val="0"/>
          <w:numId w:val="1"/>
        </w:numPr>
        <w:snapToGrid/>
        <w:spacing w:before="0" w:beforeAutospacing="0" w:after="0" w:afterAutospacing="0" w:line="240" w:lineRule="auto"/>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工作情况</w:t>
      </w:r>
    </w:p>
    <w:p w14:paraId="67A9A63D">
      <w:pPr>
        <w:numPr>
          <w:ilvl w:val="0"/>
          <w:numId w:val="0"/>
        </w:numPr>
        <w:snapToGrid/>
        <w:spacing w:before="0" w:beforeAutospacing="0" w:after="0" w:afterAutospacing="0" w:line="240" w:lineRule="auto"/>
        <w:ind w:firstLine="640" w:firstLineChars="200"/>
        <w:jc w:val="both"/>
        <w:textAlignment w:val="baseline"/>
        <w:rPr>
          <w:rFonts w:hint="eastAsia" w:ascii="仿宋_GB2312" w:eastAsia="仿宋_GB2312"/>
          <w:sz w:val="32"/>
          <w:szCs w:val="32"/>
          <w:lang w:val="en-US" w:eastAsia="zh-CN"/>
        </w:rPr>
      </w:pPr>
    </w:p>
    <w:p w14:paraId="2DE77844">
      <w:pPr>
        <w:numPr>
          <w:ilvl w:val="0"/>
          <w:numId w:val="0"/>
        </w:numPr>
        <w:snapToGrid/>
        <w:spacing w:before="0" w:beforeAutospacing="0" w:after="0" w:afterAutospacing="0" w:line="240" w:lineRule="auto"/>
        <w:ind w:firstLine="640" w:firstLine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（一）任务来源</w:t>
      </w:r>
    </w:p>
    <w:p w14:paraId="7B7F743E">
      <w:pPr>
        <w:widowControl/>
        <w:snapToGrid w:val="0"/>
        <w:spacing w:beforeLines="50" w:afterLines="50"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根据《江西省市场监管局关于下达 2024 年第十批江西省地方标准制修订计划的通知》（赣市监标〔2024〕</w:t>
      </w:r>
      <w:r>
        <w:rPr>
          <w:rFonts w:hint="eastAsia" w:ascii="仿宋_GB2312" w:eastAsia="仿宋_GB2312"/>
          <w:sz w:val="32"/>
          <w:szCs w:val="32"/>
          <w:lang w:val="en-US" w:eastAsia="zh-CN"/>
        </w:rPr>
        <w:t>21</w:t>
      </w:r>
      <w:r>
        <w:rPr>
          <w:rFonts w:hint="eastAsia" w:ascii="仿宋_GB2312" w:eastAsia="仿宋_GB2312"/>
          <w:sz w:val="32"/>
          <w:szCs w:val="32"/>
          <w:lang w:eastAsia="zh-CN"/>
        </w:rPr>
        <w:t xml:space="preserve"> 号）的文件要求，编写本标准。本标准计划编号为DB36-2024-</w:t>
      </w:r>
      <w:r>
        <w:rPr>
          <w:rFonts w:hint="eastAsia" w:ascii="仿宋_GB2312" w:eastAsia="仿宋_GB2312"/>
          <w:sz w:val="32"/>
          <w:szCs w:val="32"/>
          <w:lang w:val="en-US" w:eastAsia="zh-CN"/>
        </w:rPr>
        <w:t>10</w:t>
      </w:r>
      <w:r>
        <w:rPr>
          <w:rFonts w:hint="eastAsia" w:ascii="仿宋_GB2312" w:eastAsia="仿宋_GB2312"/>
          <w:sz w:val="32"/>
          <w:szCs w:val="32"/>
          <w:lang w:eastAsia="zh-CN"/>
        </w:rPr>
        <w:t>-</w:t>
      </w:r>
      <w:r>
        <w:rPr>
          <w:rFonts w:hint="eastAsia" w:ascii="仿宋_GB2312" w:eastAsia="仿宋_GB2312"/>
          <w:sz w:val="32"/>
          <w:szCs w:val="32"/>
          <w:lang w:val="en-US" w:eastAsia="zh-CN"/>
        </w:rPr>
        <w:t>20</w:t>
      </w:r>
      <w:r>
        <w:rPr>
          <w:rFonts w:hint="eastAsia" w:ascii="仿宋_GB2312" w:eastAsia="仿宋_GB2312"/>
          <w:sz w:val="32"/>
          <w:szCs w:val="32"/>
          <w:lang w:eastAsia="zh-CN"/>
        </w:rPr>
        <w:t>。</w:t>
      </w:r>
    </w:p>
    <w:p w14:paraId="1D17FE91">
      <w:pPr>
        <w:widowControl/>
        <w:snapToGrid w:val="0"/>
        <w:spacing w:beforeLines="50" w:afterLines="50"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（二）起草单位</w:t>
      </w:r>
    </w:p>
    <w:p w14:paraId="34126F5E">
      <w:pPr>
        <w:widowControl/>
        <w:snapToGrid w:val="0"/>
        <w:spacing w:beforeLines="50" w:afterLines="50" w:line="600" w:lineRule="exact"/>
        <w:ind w:firstLine="640" w:firstLineChars="200"/>
        <w:rPr>
          <w:rFonts w:hint="eastAsia" w:ascii="仿宋_GB2312" w:eastAsia="仿宋_GB2312"/>
          <w:sz w:val="32"/>
          <w:szCs w:val="32"/>
        </w:rPr>
      </w:pPr>
      <w:r>
        <w:rPr>
          <w:rFonts w:hint="eastAsia" w:ascii="仿宋_GB2312" w:eastAsia="仿宋_GB2312"/>
          <w:sz w:val="32"/>
          <w:szCs w:val="32"/>
        </w:rPr>
        <w:t>标准起草单位：</w:t>
      </w:r>
      <w:r>
        <w:rPr>
          <w:rFonts w:hint="eastAsia" w:ascii="仿宋_GB2312" w:eastAsia="仿宋_GB2312"/>
          <w:sz w:val="32"/>
          <w:szCs w:val="32"/>
          <w:lang w:val="en-US" w:eastAsia="zh-CN"/>
        </w:rPr>
        <w:t>修水县蚕桑产业服务</w:t>
      </w:r>
      <w:r>
        <w:rPr>
          <w:rFonts w:hint="eastAsia" w:ascii="仿宋_GB2312" w:eastAsia="仿宋_GB2312"/>
          <w:sz w:val="32"/>
          <w:szCs w:val="32"/>
        </w:rPr>
        <w:t>中心</w:t>
      </w:r>
      <w:r>
        <w:rPr>
          <w:rFonts w:hint="eastAsia" w:ascii="仿宋_GB2312" w:eastAsia="仿宋_GB2312"/>
          <w:sz w:val="32"/>
          <w:szCs w:val="32"/>
          <w:lang w:val="en-US" w:eastAsia="zh-CN"/>
        </w:rPr>
        <w:t>、江西省经济作物研究所、江西省修水神茶实业有限公司、</w:t>
      </w:r>
      <w:r>
        <w:rPr>
          <w:rFonts w:hint="eastAsia" w:ascii="仿宋_GB2312" w:eastAsia="仿宋_GB2312"/>
          <w:sz w:val="32"/>
          <w:szCs w:val="32"/>
          <w:lang w:eastAsia="zh-CN"/>
        </w:rPr>
        <w:t>九江市修水茶叶科学研究所、修水县市场监督管理局、江西井冈蚕种科技有限公司。</w:t>
      </w:r>
    </w:p>
    <w:p w14:paraId="2925FC65">
      <w:pPr>
        <w:pStyle w:val="10"/>
        <w:numPr>
          <w:ilvl w:val="0"/>
          <w:numId w:val="2"/>
        </w:numPr>
        <w:ind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主要起草人及其分工</w:t>
      </w:r>
    </w:p>
    <w:p w14:paraId="1D571C25">
      <w:pPr>
        <w:ind w:firstLine="640" w:firstLineChars="200"/>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本标准主要起草人由参与</w:t>
      </w:r>
      <w:r>
        <w:rPr>
          <w:rFonts w:hint="eastAsia" w:ascii="仿宋_GB2312" w:hAnsi="Times New Roman" w:eastAsia="仿宋_GB2312" w:cs="Times New Roman"/>
          <w:kern w:val="2"/>
          <w:sz w:val="32"/>
          <w:szCs w:val="32"/>
          <w:lang w:val="en-US" w:eastAsia="zh-CN" w:bidi="ar-SA"/>
        </w:rPr>
        <w:t>此标准相关</w:t>
      </w:r>
      <w:r>
        <w:rPr>
          <w:rFonts w:hint="default" w:ascii="仿宋_GB2312" w:hAnsi="Times New Roman" w:eastAsia="仿宋_GB2312" w:cs="Times New Roman"/>
          <w:kern w:val="2"/>
          <w:sz w:val="32"/>
          <w:szCs w:val="32"/>
          <w:lang w:val="en-US" w:eastAsia="zh-CN" w:bidi="ar-SA"/>
        </w:rPr>
        <w:t>试验与科技推广的研究人员组成，具体分工详见表1。</w:t>
      </w:r>
    </w:p>
    <w:p w14:paraId="606C9482">
      <w:pPr>
        <w:ind w:firstLine="640" w:firstLineChars="200"/>
        <w:rPr>
          <w:rFonts w:hint="default" w:ascii="仿宋_GB2312" w:hAnsi="Times New Roman" w:eastAsia="仿宋_GB2312" w:cs="Times New Roman"/>
          <w:kern w:val="2"/>
          <w:sz w:val="32"/>
          <w:szCs w:val="32"/>
          <w:lang w:val="en-US" w:eastAsia="zh-CN" w:bidi="ar-SA"/>
        </w:rPr>
      </w:pPr>
    </w:p>
    <w:tbl>
      <w:tblPr>
        <w:tblStyle w:val="6"/>
        <w:tblpPr w:leftFromText="180" w:rightFromText="180" w:vertAnchor="text" w:horzAnchor="page" w:tblpX="1084" w:tblpY="582"/>
        <w:tblOverlap w:val="never"/>
        <w:tblW w:w="99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9"/>
        <w:gridCol w:w="3553"/>
        <w:gridCol w:w="1819"/>
        <w:gridCol w:w="2846"/>
      </w:tblGrid>
      <w:tr w14:paraId="1F7A4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1" w:hRule="exact"/>
        </w:trPr>
        <w:tc>
          <w:tcPr>
            <w:tcW w:w="1759" w:type="dxa"/>
            <w:noWrap w:val="0"/>
            <w:tcMar>
              <w:top w:w="15" w:type="dxa"/>
              <w:left w:w="15" w:type="dxa"/>
              <w:bottom w:w="0" w:type="dxa"/>
              <w:right w:w="15" w:type="dxa"/>
            </w:tcMar>
            <w:vAlign w:val="center"/>
          </w:tcPr>
          <w:p w14:paraId="27DC5D7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val="0"/>
                <w:bCs/>
                <w:color w:val="000000"/>
                <w:sz w:val="24"/>
                <w:szCs w:val="24"/>
              </w:rPr>
            </w:pPr>
            <w:r>
              <w:rPr>
                <w:rFonts w:hint="eastAsia" w:ascii="黑体" w:hAnsi="黑体" w:eastAsia="黑体" w:cs="黑体"/>
                <w:b w:val="0"/>
                <w:bCs/>
                <w:color w:val="000000"/>
                <w:sz w:val="24"/>
                <w:szCs w:val="24"/>
              </w:rPr>
              <w:t>起草组成员</w:t>
            </w:r>
          </w:p>
        </w:tc>
        <w:tc>
          <w:tcPr>
            <w:tcW w:w="3553" w:type="dxa"/>
            <w:noWrap w:val="0"/>
            <w:vAlign w:val="center"/>
          </w:tcPr>
          <w:p w14:paraId="75DD4FE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val="0"/>
                <w:bCs/>
                <w:color w:val="000000"/>
                <w:sz w:val="24"/>
                <w:szCs w:val="24"/>
                <w:shd w:val="clear" w:color="auto" w:fill="CCFFFF"/>
              </w:rPr>
            </w:pPr>
            <w:r>
              <w:rPr>
                <w:rFonts w:hint="eastAsia" w:ascii="黑体" w:hAnsi="黑体" w:eastAsia="黑体" w:cs="黑体"/>
                <w:b w:val="0"/>
                <w:bCs/>
                <w:color w:val="000000"/>
                <w:sz w:val="24"/>
                <w:szCs w:val="24"/>
              </w:rPr>
              <w:t>单   位</w:t>
            </w:r>
          </w:p>
        </w:tc>
        <w:tc>
          <w:tcPr>
            <w:tcW w:w="1819" w:type="dxa"/>
            <w:noWrap w:val="0"/>
            <w:vAlign w:val="center"/>
          </w:tcPr>
          <w:p w14:paraId="0E764C5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val="0"/>
                <w:bCs/>
                <w:color w:val="000000"/>
                <w:sz w:val="24"/>
                <w:szCs w:val="24"/>
              </w:rPr>
            </w:pPr>
            <w:r>
              <w:rPr>
                <w:rFonts w:hint="eastAsia" w:ascii="黑体" w:hAnsi="黑体" w:eastAsia="黑体" w:cs="黑体"/>
                <w:b w:val="0"/>
                <w:bCs/>
                <w:color w:val="000000"/>
                <w:sz w:val="24"/>
                <w:szCs w:val="24"/>
              </w:rPr>
              <w:t>职（务）称</w:t>
            </w:r>
          </w:p>
        </w:tc>
        <w:tc>
          <w:tcPr>
            <w:tcW w:w="2846" w:type="dxa"/>
            <w:noWrap w:val="0"/>
            <w:vAlign w:val="center"/>
          </w:tcPr>
          <w:p w14:paraId="31044EA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黑体" w:hAnsi="黑体" w:eastAsia="黑体" w:cs="黑体"/>
                <w:b w:val="0"/>
                <w:bCs/>
                <w:color w:val="000000"/>
                <w:sz w:val="24"/>
                <w:szCs w:val="24"/>
              </w:rPr>
            </w:pPr>
            <w:r>
              <w:rPr>
                <w:rFonts w:hint="eastAsia" w:ascii="黑体" w:hAnsi="黑体" w:eastAsia="黑体" w:cs="黑体"/>
                <w:b w:val="0"/>
                <w:bCs/>
                <w:color w:val="000000"/>
                <w:sz w:val="24"/>
                <w:szCs w:val="24"/>
              </w:rPr>
              <w:t>分工</w:t>
            </w:r>
          </w:p>
        </w:tc>
      </w:tr>
      <w:tr w14:paraId="7139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2AEC29C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梁财</w:t>
            </w:r>
          </w:p>
        </w:tc>
        <w:tc>
          <w:tcPr>
            <w:tcW w:w="3553" w:type="dxa"/>
            <w:noWrap w:val="0"/>
            <w:vAlign w:val="center"/>
          </w:tcPr>
          <w:p w14:paraId="0FEE2BB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p>
        </w:tc>
        <w:tc>
          <w:tcPr>
            <w:tcW w:w="1819" w:type="dxa"/>
            <w:noWrap w:val="0"/>
            <w:vAlign w:val="center"/>
          </w:tcPr>
          <w:p w14:paraId="6A7D2E0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高级农艺师</w:t>
            </w:r>
          </w:p>
        </w:tc>
        <w:tc>
          <w:tcPr>
            <w:tcW w:w="2846" w:type="dxa"/>
            <w:noWrap w:val="0"/>
            <w:vAlign w:val="center"/>
          </w:tcPr>
          <w:p w14:paraId="0A891AF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sz w:val="24"/>
                <w:szCs w:val="24"/>
                <w:lang w:eastAsia="zh-CN"/>
              </w:rPr>
            </w:pPr>
            <w:r>
              <w:rPr>
                <w:rFonts w:hint="eastAsia" w:eastAsia="仿宋_GB2312" w:cs="Times New Roman"/>
                <w:color w:val="000000"/>
                <w:sz w:val="24"/>
                <w:szCs w:val="24"/>
                <w:lang w:eastAsia="zh-CN"/>
              </w:rPr>
              <w:t>项目牵头</w:t>
            </w:r>
          </w:p>
        </w:tc>
      </w:tr>
      <w:tr w14:paraId="3155E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2A05BE2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姚金宝</w:t>
            </w:r>
          </w:p>
        </w:tc>
        <w:tc>
          <w:tcPr>
            <w:tcW w:w="3553" w:type="dxa"/>
            <w:noWrap w:val="0"/>
            <w:vAlign w:val="center"/>
          </w:tcPr>
          <w:p w14:paraId="1558E8E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江西省经济作物研究所</w:t>
            </w:r>
          </w:p>
        </w:tc>
        <w:tc>
          <w:tcPr>
            <w:tcW w:w="1819" w:type="dxa"/>
            <w:noWrap w:val="0"/>
            <w:vAlign w:val="center"/>
          </w:tcPr>
          <w:p w14:paraId="11DFBA4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研究员</w:t>
            </w:r>
          </w:p>
        </w:tc>
        <w:tc>
          <w:tcPr>
            <w:tcW w:w="2846" w:type="dxa"/>
            <w:noWrap w:val="0"/>
            <w:vAlign w:val="center"/>
          </w:tcPr>
          <w:p w14:paraId="4A3BEA1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规程起草、技术总结</w:t>
            </w:r>
          </w:p>
        </w:tc>
      </w:tr>
      <w:tr w14:paraId="5CD95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76F6B2DC">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b w:val="0"/>
                <w:bCs/>
                <w:color w:val="auto"/>
                <w:sz w:val="24"/>
                <w:lang w:val="en-US" w:eastAsia="zh-CN"/>
              </w:rPr>
              <w:t>陈思洋</w:t>
            </w:r>
          </w:p>
        </w:tc>
        <w:tc>
          <w:tcPr>
            <w:tcW w:w="3553" w:type="dxa"/>
            <w:noWrap w:val="0"/>
            <w:vAlign w:val="center"/>
          </w:tcPr>
          <w:p w14:paraId="679D584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江西省修水神茶实业有限公司</w:t>
            </w:r>
          </w:p>
        </w:tc>
        <w:tc>
          <w:tcPr>
            <w:tcW w:w="1819" w:type="dxa"/>
            <w:noWrap w:val="0"/>
            <w:vAlign w:val="center"/>
          </w:tcPr>
          <w:p w14:paraId="5F7CBFB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副总经理</w:t>
            </w:r>
          </w:p>
        </w:tc>
        <w:tc>
          <w:tcPr>
            <w:tcW w:w="2846" w:type="dxa"/>
            <w:noWrap w:val="0"/>
            <w:vAlign w:val="center"/>
          </w:tcPr>
          <w:p w14:paraId="566452D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规程起草、</w:t>
            </w:r>
            <w:r>
              <w:rPr>
                <w:rFonts w:hint="eastAsia" w:ascii="Times New Roman" w:hAnsi="Times New Roman" w:eastAsia="仿宋_GB2312" w:cs="Times New Roman"/>
                <w:color w:val="000000"/>
                <w:sz w:val="24"/>
                <w:szCs w:val="24"/>
                <w:lang w:val="en-US" w:eastAsia="zh-CN"/>
              </w:rPr>
              <w:t>条款修订</w:t>
            </w:r>
          </w:p>
        </w:tc>
      </w:tr>
      <w:tr w14:paraId="50EA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54AB128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王冬生</w:t>
            </w:r>
          </w:p>
        </w:tc>
        <w:tc>
          <w:tcPr>
            <w:tcW w:w="3553" w:type="dxa"/>
            <w:noWrap w:val="0"/>
            <w:vAlign w:val="center"/>
          </w:tcPr>
          <w:p w14:paraId="5E9211B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江西省经济作物研究所</w:t>
            </w:r>
          </w:p>
        </w:tc>
        <w:tc>
          <w:tcPr>
            <w:tcW w:w="1819" w:type="dxa"/>
            <w:noWrap w:val="0"/>
            <w:vAlign w:val="center"/>
          </w:tcPr>
          <w:p w14:paraId="62A2E06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rPr>
            </w:pPr>
            <w:r>
              <w:rPr>
                <w:rFonts w:hint="eastAsia" w:eastAsia="仿宋_GB2312" w:cs="Times New Roman"/>
                <w:color w:val="000000"/>
                <w:sz w:val="24"/>
                <w:szCs w:val="24"/>
                <w:lang w:val="en-US" w:eastAsia="zh-CN"/>
              </w:rPr>
              <w:t>正高级农艺师</w:t>
            </w:r>
          </w:p>
        </w:tc>
        <w:tc>
          <w:tcPr>
            <w:tcW w:w="2846" w:type="dxa"/>
            <w:noWrap w:val="0"/>
            <w:vAlign w:val="center"/>
          </w:tcPr>
          <w:p w14:paraId="65E9037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数据分析</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技术服务</w:t>
            </w:r>
          </w:p>
        </w:tc>
      </w:tr>
      <w:tr w14:paraId="4C71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32A5BFE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eastAsia="仿宋_GB2312" w:cs="Times New Roman"/>
                <w:color w:val="000000"/>
                <w:sz w:val="24"/>
                <w:szCs w:val="24"/>
                <w:lang w:val="en-US" w:eastAsia="zh-CN"/>
              </w:rPr>
              <w:t>曾小健</w:t>
            </w:r>
          </w:p>
        </w:tc>
        <w:tc>
          <w:tcPr>
            <w:tcW w:w="3553" w:type="dxa"/>
            <w:noWrap w:val="0"/>
            <w:vAlign w:val="center"/>
          </w:tcPr>
          <w:p w14:paraId="6C1CD92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eastAsia="仿宋_GB2312" w:cs="Times New Roman"/>
                <w:color w:val="000000"/>
                <w:sz w:val="24"/>
                <w:szCs w:val="24"/>
                <w:lang w:val="en-US" w:eastAsia="zh-CN"/>
              </w:rPr>
              <w:t>江西井冈蚕种科技有限公司</w:t>
            </w:r>
          </w:p>
        </w:tc>
        <w:tc>
          <w:tcPr>
            <w:tcW w:w="1819" w:type="dxa"/>
            <w:noWrap w:val="0"/>
            <w:vAlign w:val="center"/>
          </w:tcPr>
          <w:p w14:paraId="5671375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eastAsia="仿宋_GB2312" w:cs="Times New Roman"/>
                <w:color w:val="000000"/>
                <w:sz w:val="24"/>
                <w:szCs w:val="24"/>
                <w:lang w:val="en-US" w:eastAsia="zh-CN"/>
              </w:rPr>
              <w:t>农艺师</w:t>
            </w:r>
          </w:p>
        </w:tc>
        <w:tc>
          <w:tcPr>
            <w:tcW w:w="2846" w:type="dxa"/>
            <w:noWrap w:val="0"/>
            <w:vAlign w:val="center"/>
          </w:tcPr>
          <w:p w14:paraId="7C2BC665">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sz w:val="24"/>
                <w:szCs w:val="24"/>
                <w:lang w:eastAsia="zh-CN"/>
              </w:rPr>
            </w:pPr>
            <w:r>
              <w:rPr>
                <w:rFonts w:hint="default" w:ascii="Times New Roman" w:hAnsi="Times New Roman" w:eastAsia="仿宋_GB2312" w:cs="Times New Roman"/>
                <w:color w:val="000000"/>
                <w:sz w:val="24"/>
                <w:szCs w:val="24"/>
              </w:rPr>
              <w:t>技术指导</w:t>
            </w:r>
            <w:r>
              <w:rPr>
                <w:rFonts w:hint="eastAsia" w:ascii="Times New Roman" w:hAnsi="Times New Roman" w:eastAsia="仿宋_GB2312" w:cs="Times New Roman"/>
                <w:color w:val="000000"/>
                <w:sz w:val="24"/>
                <w:szCs w:val="24"/>
                <w:lang w:eastAsia="zh-CN"/>
              </w:rPr>
              <w:t>、</w:t>
            </w:r>
            <w:r>
              <w:rPr>
                <w:rFonts w:hint="eastAsia" w:ascii="Times New Roman" w:hAnsi="Times New Roman" w:eastAsia="仿宋_GB2312" w:cs="Times New Roman"/>
                <w:color w:val="000000"/>
                <w:sz w:val="24"/>
                <w:szCs w:val="24"/>
                <w:lang w:val="en-US" w:eastAsia="zh-CN"/>
              </w:rPr>
              <w:t>条款修订</w:t>
            </w:r>
          </w:p>
        </w:tc>
      </w:tr>
      <w:tr w14:paraId="2395C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3262FFF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b w:val="0"/>
                <w:bCs/>
                <w:color w:val="auto"/>
                <w:sz w:val="24"/>
                <w:lang w:val="en-US" w:eastAsia="zh-CN"/>
              </w:rPr>
              <w:t>陈罗君</w:t>
            </w:r>
          </w:p>
        </w:tc>
        <w:tc>
          <w:tcPr>
            <w:tcW w:w="3553" w:type="dxa"/>
            <w:noWrap w:val="0"/>
            <w:vAlign w:val="center"/>
          </w:tcPr>
          <w:p w14:paraId="5565B99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九江市修水茶叶科学研究所</w:t>
            </w:r>
          </w:p>
        </w:tc>
        <w:tc>
          <w:tcPr>
            <w:tcW w:w="1819" w:type="dxa"/>
            <w:noWrap w:val="0"/>
            <w:vAlign w:val="center"/>
          </w:tcPr>
          <w:p w14:paraId="4C12B02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rPr>
            </w:pPr>
            <w:r>
              <w:rPr>
                <w:rFonts w:hint="eastAsia" w:ascii="Times New Roman" w:hAnsi="Times New Roman" w:eastAsia="仿宋_GB2312" w:cs="Times New Roman"/>
                <w:color w:val="000000"/>
                <w:sz w:val="24"/>
                <w:szCs w:val="24"/>
                <w:lang w:val="en-US" w:eastAsia="zh-CN"/>
              </w:rPr>
              <w:t>副所长/农艺师</w:t>
            </w:r>
          </w:p>
        </w:tc>
        <w:tc>
          <w:tcPr>
            <w:tcW w:w="2846" w:type="dxa"/>
            <w:noWrap w:val="0"/>
            <w:vAlign w:val="center"/>
          </w:tcPr>
          <w:p w14:paraId="7586F8A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数据分析</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技术服务</w:t>
            </w:r>
          </w:p>
        </w:tc>
      </w:tr>
      <w:tr w14:paraId="0228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141AAA4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b w:val="0"/>
                <w:bCs/>
                <w:color w:val="auto"/>
                <w:sz w:val="24"/>
                <w:lang w:val="en-US" w:eastAsia="zh-CN"/>
              </w:rPr>
              <w:t>余于国</w:t>
            </w:r>
          </w:p>
        </w:tc>
        <w:tc>
          <w:tcPr>
            <w:tcW w:w="3553" w:type="dxa"/>
            <w:noWrap w:val="0"/>
            <w:vAlign w:val="center"/>
          </w:tcPr>
          <w:p w14:paraId="7976E7C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修水县蚕桑产业服务中心</w:t>
            </w:r>
          </w:p>
        </w:tc>
        <w:tc>
          <w:tcPr>
            <w:tcW w:w="1819" w:type="dxa"/>
            <w:noWrap w:val="0"/>
            <w:vAlign w:val="center"/>
          </w:tcPr>
          <w:p w14:paraId="300045F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主任</w:t>
            </w:r>
          </w:p>
        </w:tc>
        <w:tc>
          <w:tcPr>
            <w:tcW w:w="2846" w:type="dxa"/>
            <w:noWrap w:val="0"/>
            <w:vAlign w:val="center"/>
          </w:tcPr>
          <w:p w14:paraId="59F734C7">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条款修订</w:t>
            </w:r>
          </w:p>
        </w:tc>
      </w:tr>
      <w:tr w14:paraId="531E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0" w:hRule="exact"/>
        </w:trPr>
        <w:tc>
          <w:tcPr>
            <w:tcW w:w="1759" w:type="dxa"/>
            <w:noWrap w:val="0"/>
            <w:tcMar>
              <w:top w:w="15" w:type="dxa"/>
              <w:left w:w="15" w:type="dxa"/>
              <w:bottom w:w="0" w:type="dxa"/>
              <w:right w:w="15" w:type="dxa"/>
            </w:tcMar>
            <w:vAlign w:val="center"/>
          </w:tcPr>
          <w:p w14:paraId="3BB4266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b w:val="0"/>
                <w:bCs/>
                <w:color w:val="auto"/>
                <w:sz w:val="24"/>
                <w:lang w:val="en-US" w:eastAsia="zh-CN"/>
              </w:rPr>
              <w:t>周建邦</w:t>
            </w:r>
          </w:p>
        </w:tc>
        <w:tc>
          <w:tcPr>
            <w:tcW w:w="3553" w:type="dxa"/>
            <w:noWrap w:val="0"/>
            <w:vAlign w:val="center"/>
          </w:tcPr>
          <w:p w14:paraId="75FF230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修水县市场监督管理局</w:t>
            </w:r>
          </w:p>
        </w:tc>
        <w:tc>
          <w:tcPr>
            <w:tcW w:w="1819" w:type="dxa"/>
            <w:noWrap w:val="0"/>
            <w:vAlign w:val="center"/>
          </w:tcPr>
          <w:p w14:paraId="27CBF45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质量认证股</w:t>
            </w:r>
          </w:p>
          <w:p w14:paraId="0EF6A7C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负责人</w:t>
            </w:r>
          </w:p>
        </w:tc>
        <w:tc>
          <w:tcPr>
            <w:tcW w:w="2846" w:type="dxa"/>
            <w:noWrap w:val="0"/>
            <w:vAlign w:val="center"/>
          </w:tcPr>
          <w:p w14:paraId="78D385B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条款修订</w:t>
            </w:r>
          </w:p>
        </w:tc>
      </w:tr>
      <w:tr w14:paraId="37CD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3D5E132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eastAsia="仿宋_GB2312" w:cs="Times New Roman"/>
                <w:b w:val="0"/>
                <w:bCs/>
                <w:color w:val="auto"/>
                <w:sz w:val="24"/>
                <w:lang w:val="en-US" w:eastAsia="zh-CN"/>
              </w:rPr>
              <w:t>李丽梅</w:t>
            </w:r>
          </w:p>
        </w:tc>
        <w:tc>
          <w:tcPr>
            <w:tcW w:w="3553" w:type="dxa"/>
            <w:noWrap w:val="0"/>
            <w:vAlign w:val="center"/>
          </w:tcPr>
          <w:p w14:paraId="0AF6ED2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江西省经济作物研究所</w:t>
            </w:r>
          </w:p>
        </w:tc>
        <w:tc>
          <w:tcPr>
            <w:tcW w:w="1819" w:type="dxa"/>
            <w:noWrap w:val="0"/>
            <w:vAlign w:val="center"/>
          </w:tcPr>
          <w:p w14:paraId="12AEE35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eastAsia="仿宋_GB2312" w:cs="Times New Roman"/>
                <w:color w:val="000000"/>
                <w:sz w:val="24"/>
                <w:szCs w:val="24"/>
                <w:lang w:val="en-US" w:eastAsia="zh-CN"/>
              </w:rPr>
              <w:t>助理</w:t>
            </w:r>
            <w:r>
              <w:rPr>
                <w:rFonts w:hint="eastAsia" w:ascii="Times New Roman" w:hAnsi="Times New Roman" w:eastAsia="仿宋_GB2312" w:cs="Times New Roman"/>
                <w:color w:val="000000"/>
                <w:sz w:val="24"/>
                <w:szCs w:val="24"/>
                <w:lang w:val="en-US" w:eastAsia="zh-CN"/>
              </w:rPr>
              <w:t>农艺师</w:t>
            </w:r>
          </w:p>
        </w:tc>
        <w:tc>
          <w:tcPr>
            <w:tcW w:w="2846" w:type="dxa"/>
            <w:noWrap w:val="0"/>
            <w:vAlign w:val="center"/>
          </w:tcPr>
          <w:p w14:paraId="57E3B1B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条款修订</w:t>
            </w:r>
          </w:p>
        </w:tc>
      </w:tr>
      <w:tr w14:paraId="1BCC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5" w:hRule="exact"/>
        </w:trPr>
        <w:tc>
          <w:tcPr>
            <w:tcW w:w="1759" w:type="dxa"/>
            <w:noWrap w:val="0"/>
            <w:tcMar>
              <w:top w:w="15" w:type="dxa"/>
              <w:left w:w="15" w:type="dxa"/>
              <w:bottom w:w="0" w:type="dxa"/>
              <w:right w:w="15" w:type="dxa"/>
            </w:tcMar>
            <w:vAlign w:val="center"/>
          </w:tcPr>
          <w:p w14:paraId="6B0C7F4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kern w:val="2"/>
                <w:sz w:val="24"/>
                <w:szCs w:val="24"/>
                <w:lang w:val="en-US" w:eastAsia="zh-CN" w:bidi="ar-SA"/>
              </w:rPr>
              <w:t>黄继会</w:t>
            </w:r>
          </w:p>
        </w:tc>
        <w:tc>
          <w:tcPr>
            <w:tcW w:w="3553" w:type="dxa"/>
            <w:noWrap w:val="0"/>
            <w:vAlign w:val="center"/>
          </w:tcPr>
          <w:p w14:paraId="255287F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修水县蚕桑产业服务中心</w:t>
            </w:r>
            <w:r>
              <w:rPr>
                <w:rFonts w:hint="eastAsia" w:eastAsia="仿宋_GB2312" w:cs="Times New Roman"/>
                <w:color w:val="000000"/>
                <w:sz w:val="24"/>
                <w:szCs w:val="24"/>
                <w:lang w:val="en-US" w:eastAsia="zh-CN"/>
              </w:rPr>
              <w:t>漫江乡农业技术推广站</w:t>
            </w:r>
          </w:p>
        </w:tc>
        <w:tc>
          <w:tcPr>
            <w:tcW w:w="1819" w:type="dxa"/>
            <w:noWrap w:val="0"/>
            <w:vAlign w:val="center"/>
          </w:tcPr>
          <w:p w14:paraId="5BFEC7B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kern w:val="2"/>
                <w:sz w:val="24"/>
                <w:szCs w:val="24"/>
                <w:lang w:val="en-US" w:eastAsia="zh-CN" w:bidi="ar-SA"/>
              </w:rPr>
            </w:pPr>
            <w:r>
              <w:rPr>
                <w:rFonts w:hint="eastAsia" w:eastAsia="仿宋_GB2312" w:cs="Times New Roman"/>
                <w:color w:val="000000"/>
                <w:sz w:val="24"/>
                <w:szCs w:val="24"/>
                <w:lang w:val="en-US" w:eastAsia="zh-CN"/>
              </w:rPr>
              <w:t>农艺师</w:t>
            </w:r>
          </w:p>
        </w:tc>
        <w:tc>
          <w:tcPr>
            <w:tcW w:w="2846" w:type="dxa"/>
            <w:noWrap w:val="0"/>
            <w:vAlign w:val="center"/>
          </w:tcPr>
          <w:p w14:paraId="0E4F31D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sz w:val="24"/>
                <w:szCs w:val="24"/>
              </w:rPr>
              <w:t>田间管理及</w:t>
            </w:r>
            <w:r>
              <w:rPr>
                <w:rFonts w:hint="eastAsia" w:ascii="Times New Roman" w:hAnsi="Times New Roman" w:eastAsia="仿宋_GB2312" w:cs="Times New Roman"/>
                <w:color w:val="000000"/>
                <w:sz w:val="24"/>
                <w:szCs w:val="24"/>
                <w:lang w:val="en-US" w:eastAsia="zh-CN"/>
              </w:rPr>
              <w:t>试验示范</w:t>
            </w:r>
          </w:p>
        </w:tc>
      </w:tr>
      <w:tr w14:paraId="23D8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6" w:hRule="exact"/>
        </w:trPr>
        <w:tc>
          <w:tcPr>
            <w:tcW w:w="1759" w:type="dxa"/>
            <w:noWrap w:val="0"/>
            <w:tcMar>
              <w:top w:w="15" w:type="dxa"/>
              <w:left w:w="15" w:type="dxa"/>
              <w:bottom w:w="0" w:type="dxa"/>
              <w:right w:w="15" w:type="dxa"/>
            </w:tcMar>
            <w:vAlign w:val="center"/>
          </w:tcPr>
          <w:p w14:paraId="6ED39D6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sz w:val="24"/>
                <w:szCs w:val="24"/>
                <w:lang w:val="en-US" w:eastAsia="zh-CN"/>
              </w:rPr>
              <w:t>冷鹏谦</w:t>
            </w:r>
          </w:p>
        </w:tc>
        <w:tc>
          <w:tcPr>
            <w:tcW w:w="3553" w:type="dxa"/>
            <w:noWrap w:val="0"/>
            <w:vAlign w:val="center"/>
          </w:tcPr>
          <w:p w14:paraId="6A739C3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修水县蚕桑产业服务中心</w:t>
            </w:r>
            <w:r>
              <w:rPr>
                <w:rFonts w:hint="eastAsia" w:eastAsia="仿宋_GB2312" w:cs="Times New Roman"/>
                <w:color w:val="000000"/>
                <w:sz w:val="24"/>
                <w:szCs w:val="24"/>
                <w:lang w:val="en-US" w:eastAsia="zh-CN"/>
              </w:rPr>
              <w:t>漫江乡农业技术推广站</w:t>
            </w:r>
          </w:p>
        </w:tc>
        <w:tc>
          <w:tcPr>
            <w:tcW w:w="1819" w:type="dxa"/>
            <w:noWrap w:val="0"/>
            <w:vAlign w:val="center"/>
          </w:tcPr>
          <w:p w14:paraId="22811A3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助理农艺师</w:t>
            </w:r>
          </w:p>
        </w:tc>
        <w:tc>
          <w:tcPr>
            <w:tcW w:w="2846" w:type="dxa"/>
            <w:noWrap w:val="0"/>
            <w:vAlign w:val="center"/>
          </w:tcPr>
          <w:p w14:paraId="587C975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sz w:val="24"/>
                <w:szCs w:val="24"/>
              </w:rPr>
              <w:t>田间管理及</w:t>
            </w:r>
            <w:r>
              <w:rPr>
                <w:rFonts w:hint="eastAsia" w:ascii="Times New Roman" w:hAnsi="Times New Roman" w:eastAsia="仿宋_GB2312" w:cs="Times New Roman"/>
                <w:color w:val="000000"/>
                <w:sz w:val="24"/>
                <w:szCs w:val="24"/>
                <w:lang w:val="en-US" w:eastAsia="zh-CN"/>
              </w:rPr>
              <w:t>试验示范</w:t>
            </w:r>
          </w:p>
        </w:tc>
      </w:tr>
      <w:tr w14:paraId="75C4D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exact"/>
        </w:trPr>
        <w:tc>
          <w:tcPr>
            <w:tcW w:w="1759" w:type="dxa"/>
            <w:noWrap w:val="0"/>
            <w:tcMar>
              <w:top w:w="15" w:type="dxa"/>
              <w:left w:w="15" w:type="dxa"/>
              <w:bottom w:w="0" w:type="dxa"/>
              <w:right w:w="15" w:type="dxa"/>
            </w:tcMar>
            <w:vAlign w:val="center"/>
          </w:tcPr>
          <w:p w14:paraId="5D9FE25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周燚寄</w:t>
            </w:r>
          </w:p>
        </w:tc>
        <w:tc>
          <w:tcPr>
            <w:tcW w:w="3553" w:type="dxa"/>
            <w:noWrap w:val="0"/>
            <w:vAlign w:val="center"/>
          </w:tcPr>
          <w:p w14:paraId="7CCA5C5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r>
              <w:rPr>
                <w:rFonts w:hint="eastAsia" w:eastAsia="仿宋_GB2312" w:cs="Times New Roman"/>
                <w:color w:val="000000"/>
                <w:sz w:val="24"/>
                <w:szCs w:val="24"/>
                <w:lang w:val="en-US" w:eastAsia="zh-CN"/>
              </w:rPr>
              <w:t>漫江乡农业技术推广站</w:t>
            </w:r>
          </w:p>
        </w:tc>
        <w:tc>
          <w:tcPr>
            <w:tcW w:w="1819" w:type="dxa"/>
            <w:noWrap w:val="0"/>
            <w:vAlign w:val="center"/>
          </w:tcPr>
          <w:p w14:paraId="55EACD8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eastAsia" w:ascii="Times New Roman" w:hAnsi="Times New Roman" w:eastAsia="仿宋_GB2312" w:cs="Times New Roman"/>
                <w:color w:val="000000"/>
                <w:sz w:val="24"/>
                <w:szCs w:val="24"/>
                <w:lang w:val="en-US" w:eastAsia="zh-CN"/>
              </w:rPr>
              <w:t>农艺师</w:t>
            </w:r>
          </w:p>
        </w:tc>
        <w:tc>
          <w:tcPr>
            <w:tcW w:w="2846" w:type="dxa"/>
            <w:noWrap w:val="0"/>
            <w:vAlign w:val="center"/>
          </w:tcPr>
          <w:p w14:paraId="26B9FA2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lang w:val="en-US" w:eastAsia="zh-CN"/>
              </w:rPr>
            </w:pPr>
            <w:r>
              <w:rPr>
                <w:rFonts w:hint="default" w:ascii="Times New Roman" w:hAnsi="Times New Roman" w:eastAsia="仿宋_GB2312" w:cs="Times New Roman"/>
                <w:color w:val="000000"/>
                <w:sz w:val="24"/>
                <w:szCs w:val="24"/>
              </w:rPr>
              <w:t>田间管理及</w:t>
            </w:r>
            <w:r>
              <w:rPr>
                <w:rFonts w:hint="eastAsia" w:ascii="Times New Roman" w:hAnsi="Times New Roman" w:eastAsia="仿宋_GB2312" w:cs="Times New Roman"/>
                <w:color w:val="000000"/>
                <w:sz w:val="24"/>
                <w:szCs w:val="24"/>
                <w:lang w:val="en-US" w:eastAsia="zh-CN"/>
              </w:rPr>
              <w:t>试验示范</w:t>
            </w:r>
          </w:p>
        </w:tc>
      </w:tr>
      <w:tr w14:paraId="0F4D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0" w:hRule="exact"/>
        </w:trPr>
        <w:tc>
          <w:tcPr>
            <w:tcW w:w="1759" w:type="dxa"/>
            <w:shd w:val="clear" w:color="auto" w:fill="auto"/>
            <w:noWrap w:val="0"/>
            <w:tcMar>
              <w:top w:w="15" w:type="dxa"/>
              <w:left w:w="15" w:type="dxa"/>
              <w:bottom w:w="0" w:type="dxa"/>
              <w:right w:w="15" w:type="dxa"/>
            </w:tcMar>
            <w:vAlign w:val="center"/>
          </w:tcPr>
          <w:p w14:paraId="37FF803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default" w:ascii="Times New Roman" w:hAnsi="Times New Roman" w:eastAsia="仿宋_GB2312" w:cs="Times New Roman"/>
                <w:color w:val="000000"/>
                <w:sz w:val="24"/>
                <w:szCs w:val="24"/>
              </w:rPr>
              <w:t>郭鸿云</w:t>
            </w:r>
          </w:p>
        </w:tc>
        <w:tc>
          <w:tcPr>
            <w:tcW w:w="3553" w:type="dxa"/>
            <w:shd w:val="clear" w:color="auto" w:fill="auto"/>
            <w:noWrap w:val="0"/>
            <w:vAlign w:val="center"/>
          </w:tcPr>
          <w:p w14:paraId="1E96499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修水县蚕桑产业服务中心</w:t>
            </w:r>
            <w:r>
              <w:rPr>
                <w:rFonts w:hint="eastAsia" w:eastAsia="仿宋_GB2312" w:cs="Times New Roman"/>
                <w:color w:val="000000"/>
                <w:sz w:val="24"/>
                <w:szCs w:val="24"/>
                <w:lang w:val="en-US" w:eastAsia="zh-CN"/>
              </w:rPr>
              <w:t>山口镇农业技术推广站</w:t>
            </w:r>
          </w:p>
        </w:tc>
        <w:tc>
          <w:tcPr>
            <w:tcW w:w="1819" w:type="dxa"/>
            <w:noWrap w:val="0"/>
            <w:vAlign w:val="center"/>
          </w:tcPr>
          <w:p w14:paraId="5B1441C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高级农艺师</w:t>
            </w:r>
          </w:p>
        </w:tc>
        <w:tc>
          <w:tcPr>
            <w:tcW w:w="2846" w:type="dxa"/>
            <w:noWrap w:val="0"/>
            <w:vAlign w:val="center"/>
          </w:tcPr>
          <w:p w14:paraId="5528AB6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田间管理及</w:t>
            </w:r>
            <w:r>
              <w:rPr>
                <w:rFonts w:hint="eastAsia" w:ascii="Times New Roman" w:hAnsi="Times New Roman" w:eastAsia="仿宋_GB2312" w:cs="Times New Roman"/>
                <w:color w:val="000000"/>
                <w:sz w:val="24"/>
                <w:szCs w:val="24"/>
                <w:lang w:val="en-US" w:eastAsia="zh-CN"/>
              </w:rPr>
              <w:t>试验示范</w:t>
            </w:r>
          </w:p>
        </w:tc>
      </w:tr>
      <w:tr w14:paraId="4C05E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0" w:hRule="exact"/>
        </w:trPr>
        <w:tc>
          <w:tcPr>
            <w:tcW w:w="1759" w:type="dxa"/>
            <w:shd w:val="clear" w:color="auto" w:fill="auto"/>
            <w:noWrap w:val="0"/>
            <w:tcMar>
              <w:top w:w="15" w:type="dxa"/>
              <w:left w:w="15" w:type="dxa"/>
              <w:bottom w:w="0" w:type="dxa"/>
              <w:right w:w="15" w:type="dxa"/>
            </w:tcMar>
            <w:vAlign w:val="center"/>
          </w:tcPr>
          <w:p w14:paraId="2171194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曾莉红</w:t>
            </w:r>
          </w:p>
        </w:tc>
        <w:tc>
          <w:tcPr>
            <w:tcW w:w="3553" w:type="dxa"/>
            <w:shd w:val="clear" w:color="auto" w:fill="auto"/>
            <w:noWrap w:val="0"/>
            <w:vAlign w:val="center"/>
          </w:tcPr>
          <w:p w14:paraId="52EC86A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r>
              <w:rPr>
                <w:rFonts w:hint="eastAsia" w:eastAsia="仿宋_GB2312" w:cs="Times New Roman"/>
                <w:color w:val="000000"/>
                <w:sz w:val="24"/>
                <w:szCs w:val="24"/>
                <w:lang w:val="en-US" w:eastAsia="zh-CN"/>
              </w:rPr>
              <w:t>太阳升镇农业技术推广站</w:t>
            </w:r>
          </w:p>
        </w:tc>
        <w:tc>
          <w:tcPr>
            <w:tcW w:w="1819" w:type="dxa"/>
            <w:noWrap w:val="0"/>
            <w:vAlign w:val="center"/>
          </w:tcPr>
          <w:p w14:paraId="191AA33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eastAsia="仿宋_GB2312" w:cs="Times New Roman"/>
                <w:color w:val="000000"/>
                <w:sz w:val="24"/>
                <w:szCs w:val="24"/>
                <w:lang w:val="en-US" w:eastAsia="zh-CN"/>
              </w:rPr>
              <w:t>助理农艺师</w:t>
            </w:r>
          </w:p>
        </w:tc>
        <w:tc>
          <w:tcPr>
            <w:tcW w:w="2846" w:type="dxa"/>
            <w:noWrap w:val="0"/>
            <w:vAlign w:val="center"/>
          </w:tcPr>
          <w:p w14:paraId="297BD9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田间管理及</w:t>
            </w:r>
            <w:r>
              <w:rPr>
                <w:rFonts w:hint="eastAsia" w:ascii="Times New Roman" w:hAnsi="Times New Roman" w:eastAsia="仿宋_GB2312" w:cs="Times New Roman"/>
                <w:color w:val="000000"/>
                <w:sz w:val="24"/>
                <w:szCs w:val="24"/>
                <w:lang w:val="en-US" w:eastAsia="zh-CN"/>
              </w:rPr>
              <w:t>试验示范</w:t>
            </w:r>
          </w:p>
        </w:tc>
      </w:tr>
      <w:tr w14:paraId="6A07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shd w:val="clear" w:color="auto" w:fill="auto"/>
            <w:noWrap w:val="0"/>
            <w:tcMar>
              <w:top w:w="15" w:type="dxa"/>
              <w:left w:w="15" w:type="dxa"/>
              <w:bottom w:w="0" w:type="dxa"/>
              <w:right w:w="15" w:type="dxa"/>
            </w:tcMar>
            <w:vAlign w:val="center"/>
          </w:tcPr>
          <w:p w14:paraId="32CC124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kern w:val="2"/>
                <w:sz w:val="24"/>
                <w:szCs w:val="24"/>
                <w:lang w:val="en-US" w:eastAsia="zh-CN" w:bidi="ar-SA"/>
              </w:rPr>
              <w:t>卢彬</w:t>
            </w:r>
          </w:p>
        </w:tc>
        <w:tc>
          <w:tcPr>
            <w:tcW w:w="3553" w:type="dxa"/>
            <w:shd w:val="clear" w:color="auto" w:fill="auto"/>
            <w:noWrap w:val="0"/>
            <w:vAlign w:val="center"/>
          </w:tcPr>
          <w:p w14:paraId="3C193D4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kern w:val="2"/>
                <w:sz w:val="24"/>
                <w:szCs w:val="24"/>
                <w:lang w:val="en-US" w:eastAsia="zh-CN" w:bidi="ar-SA"/>
              </w:rPr>
            </w:pPr>
            <w:r>
              <w:rPr>
                <w:rFonts w:hint="eastAsia" w:ascii="Times New Roman" w:hAnsi="Times New Roman" w:eastAsia="仿宋_GB2312" w:cs="Times New Roman"/>
                <w:color w:val="000000"/>
                <w:sz w:val="24"/>
                <w:szCs w:val="24"/>
                <w:lang w:val="en-US" w:eastAsia="zh-CN"/>
              </w:rPr>
              <w:t>修水县蚕桑产业服务中心</w:t>
            </w:r>
          </w:p>
        </w:tc>
        <w:tc>
          <w:tcPr>
            <w:tcW w:w="1819" w:type="dxa"/>
            <w:noWrap w:val="0"/>
            <w:vAlign w:val="center"/>
          </w:tcPr>
          <w:p w14:paraId="3593100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农艺师</w:t>
            </w:r>
          </w:p>
        </w:tc>
        <w:tc>
          <w:tcPr>
            <w:tcW w:w="2846" w:type="dxa"/>
            <w:noWrap w:val="0"/>
            <w:vAlign w:val="center"/>
          </w:tcPr>
          <w:p w14:paraId="0910D83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数据分析</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技术服务</w:t>
            </w:r>
          </w:p>
        </w:tc>
      </w:tr>
      <w:tr w14:paraId="2C405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7E392B1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杨熙昴</w:t>
            </w:r>
          </w:p>
        </w:tc>
        <w:tc>
          <w:tcPr>
            <w:tcW w:w="3553" w:type="dxa"/>
            <w:noWrap w:val="0"/>
            <w:vAlign w:val="center"/>
          </w:tcPr>
          <w:p w14:paraId="68C8196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p>
        </w:tc>
        <w:tc>
          <w:tcPr>
            <w:tcW w:w="1819" w:type="dxa"/>
            <w:noWrap w:val="0"/>
            <w:vAlign w:val="center"/>
          </w:tcPr>
          <w:p w14:paraId="698D5AE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助理农艺师</w:t>
            </w:r>
          </w:p>
        </w:tc>
        <w:tc>
          <w:tcPr>
            <w:tcW w:w="2846" w:type="dxa"/>
            <w:noWrap w:val="0"/>
            <w:vAlign w:val="center"/>
          </w:tcPr>
          <w:p w14:paraId="62CC4DC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数据分析</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技术服务</w:t>
            </w:r>
          </w:p>
        </w:tc>
      </w:tr>
      <w:tr w14:paraId="7899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0" w:hRule="exact"/>
        </w:trPr>
        <w:tc>
          <w:tcPr>
            <w:tcW w:w="1759" w:type="dxa"/>
            <w:noWrap w:val="0"/>
            <w:tcMar>
              <w:top w:w="15" w:type="dxa"/>
              <w:left w:w="15" w:type="dxa"/>
              <w:bottom w:w="0" w:type="dxa"/>
              <w:right w:w="15" w:type="dxa"/>
            </w:tcMar>
            <w:vAlign w:val="center"/>
          </w:tcPr>
          <w:p w14:paraId="3A73CD6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夏凤</w:t>
            </w:r>
          </w:p>
        </w:tc>
        <w:tc>
          <w:tcPr>
            <w:tcW w:w="3553" w:type="dxa"/>
            <w:noWrap w:val="0"/>
            <w:vAlign w:val="center"/>
          </w:tcPr>
          <w:p w14:paraId="69665F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p>
        </w:tc>
        <w:tc>
          <w:tcPr>
            <w:tcW w:w="1819" w:type="dxa"/>
            <w:noWrap w:val="0"/>
            <w:vAlign w:val="center"/>
          </w:tcPr>
          <w:p w14:paraId="391F8E6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助理农艺师</w:t>
            </w:r>
          </w:p>
        </w:tc>
        <w:tc>
          <w:tcPr>
            <w:tcW w:w="2846" w:type="dxa"/>
            <w:noWrap w:val="0"/>
            <w:vAlign w:val="center"/>
          </w:tcPr>
          <w:p w14:paraId="5F75E96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数据分析</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技术服务</w:t>
            </w:r>
          </w:p>
        </w:tc>
      </w:tr>
      <w:tr w14:paraId="4388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exact"/>
        </w:trPr>
        <w:tc>
          <w:tcPr>
            <w:tcW w:w="1759" w:type="dxa"/>
            <w:noWrap w:val="0"/>
            <w:tcMar>
              <w:top w:w="15" w:type="dxa"/>
              <w:left w:w="15" w:type="dxa"/>
              <w:bottom w:w="0" w:type="dxa"/>
              <w:right w:w="15" w:type="dxa"/>
            </w:tcMar>
            <w:vAlign w:val="center"/>
          </w:tcPr>
          <w:p w14:paraId="123D2B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徐倩婷</w:t>
            </w:r>
          </w:p>
        </w:tc>
        <w:tc>
          <w:tcPr>
            <w:tcW w:w="3553" w:type="dxa"/>
            <w:noWrap w:val="0"/>
            <w:vAlign w:val="center"/>
          </w:tcPr>
          <w:p w14:paraId="01FD80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r>
              <w:rPr>
                <w:rFonts w:hint="eastAsia" w:eastAsia="仿宋_GB2312" w:cs="Times New Roman"/>
                <w:color w:val="000000"/>
                <w:sz w:val="24"/>
                <w:szCs w:val="24"/>
                <w:lang w:val="en-US" w:eastAsia="zh-CN"/>
              </w:rPr>
              <w:t>山口镇农业技术推广站</w:t>
            </w:r>
          </w:p>
        </w:tc>
        <w:tc>
          <w:tcPr>
            <w:tcW w:w="1819" w:type="dxa"/>
            <w:noWrap w:val="0"/>
            <w:vAlign w:val="center"/>
          </w:tcPr>
          <w:p w14:paraId="574388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助理农艺师</w:t>
            </w:r>
          </w:p>
        </w:tc>
        <w:tc>
          <w:tcPr>
            <w:tcW w:w="2846" w:type="dxa"/>
            <w:noWrap w:val="0"/>
            <w:vAlign w:val="center"/>
          </w:tcPr>
          <w:p w14:paraId="07D0C6A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田间管理及</w:t>
            </w:r>
            <w:r>
              <w:rPr>
                <w:rFonts w:hint="eastAsia" w:ascii="Times New Roman" w:hAnsi="Times New Roman" w:eastAsia="仿宋_GB2312" w:cs="Times New Roman"/>
                <w:color w:val="000000"/>
                <w:sz w:val="24"/>
                <w:szCs w:val="24"/>
                <w:lang w:val="en-US" w:eastAsia="zh-CN"/>
              </w:rPr>
              <w:t>试验示范</w:t>
            </w:r>
          </w:p>
        </w:tc>
      </w:tr>
      <w:tr w14:paraId="6626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exact"/>
        </w:trPr>
        <w:tc>
          <w:tcPr>
            <w:tcW w:w="1759" w:type="dxa"/>
            <w:noWrap w:val="0"/>
            <w:tcMar>
              <w:top w:w="15" w:type="dxa"/>
              <w:left w:w="15" w:type="dxa"/>
              <w:bottom w:w="0" w:type="dxa"/>
              <w:right w:w="15" w:type="dxa"/>
            </w:tcMar>
            <w:vAlign w:val="center"/>
          </w:tcPr>
          <w:p w14:paraId="70BB740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周浩</w:t>
            </w:r>
          </w:p>
        </w:tc>
        <w:tc>
          <w:tcPr>
            <w:tcW w:w="3553" w:type="dxa"/>
            <w:noWrap w:val="0"/>
            <w:vAlign w:val="center"/>
          </w:tcPr>
          <w:p w14:paraId="2C5DF6E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修水县蚕桑产业服务中心</w:t>
            </w:r>
          </w:p>
        </w:tc>
        <w:tc>
          <w:tcPr>
            <w:tcW w:w="1819" w:type="dxa"/>
            <w:noWrap w:val="0"/>
            <w:vAlign w:val="center"/>
          </w:tcPr>
          <w:p w14:paraId="0FF0CF6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imes New Roman" w:hAnsi="Times New Roman" w:eastAsia="仿宋_GB2312" w:cs="Times New Roman"/>
                <w:color w:val="000000"/>
                <w:sz w:val="24"/>
                <w:szCs w:val="24"/>
                <w:lang w:val="en-US" w:eastAsia="zh-CN"/>
              </w:rPr>
            </w:pPr>
            <w:r>
              <w:rPr>
                <w:rFonts w:hint="eastAsia" w:ascii="Times New Roman" w:hAnsi="Times New Roman" w:eastAsia="仿宋_GB2312" w:cs="Times New Roman"/>
                <w:color w:val="000000"/>
                <w:sz w:val="24"/>
                <w:szCs w:val="24"/>
                <w:lang w:val="en-US" w:eastAsia="zh-CN"/>
              </w:rPr>
              <w:t>助理农艺师</w:t>
            </w:r>
          </w:p>
        </w:tc>
        <w:tc>
          <w:tcPr>
            <w:tcW w:w="2846" w:type="dxa"/>
            <w:noWrap w:val="0"/>
            <w:vAlign w:val="center"/>
          </w:tcPr>
          <w:p w14:paraId="7A509652">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default" w:ascii="Times New Roman" w:hAnsi="Times New Roman" w:eastAsia="仿宋_GB2312" w:cs="Times New Roman"/>
                <w:color w:val="000000"/>
                <w:sz w:val="24"/>
                <w:szCs w:val="24"/>
              </w:rPr>
            </w:pPr>
            <w:r>
              <w:rPr>
                <w:rFonts w:hint="default" w:ascii="Times New Roman" w:hAnsi="Times New Roman" w:eastAsia="仿宋_GB2312" w:cs="Times New Roman"/>
                <w:color w:val="000000"/>
                <w:sz w:val="24"/>
                <w:szCs w:val="24"/>
              </w:rPr>
              <w:t>数据分析</w:t>
            </w:r>
            <w:r>
              <w:rPr>
                <w:rFonts w:hint="eastAsia" w:ascii="Times New Roman" w:hAnsi="Times New Roman" w:eastAsia="仿宋_GB2312" w:cs="Times New Roman"/>
                <w:color w:val="000000"/>
                <w:sz w:val="24"/>
                <w:szCs w:val="24"/>
                <w:lang w:eastAsia="zh-CN"/>
              </w:rPr>
              <w:t>、</w:t>
            </w:r>
            <w:r>
              <w:rPr>
                <w:rFonts w:hint="default" w:ascii="Times New Roman" w:hAnsi="Times New Roman" w:eastAsia="仿宋_GB2312" w:cs="Times New Roman"/>
                <w:color w:val="000000"/>
                <w:sz w:val="24"/>
                <w:szCs w:val="24"/>
              </w:rPr>
              <w:t>技术服务</w:t>
            </w:r>
          </w:p>
        </w:tc>
      </w:tr>
    </w:tbl>
    <w:p w14:paraId="35E9C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8"/>
          <w:szCs w:val="28"/>
          <w:shd w:val="clear" w:color="auto" w:fill="FFFFFF"/>
        </w:rPr>
      </w:pPr>
      <w:r>
        <w:rPr>
          <w:rFonts w:hint="default" w:ascii="Times New Roman" w:hAnsi="Times New Roman" w:eastAsia="仿宋_GB2312" w:cs="Times New Roman"/>
          <w:color w:val="000000"/>
          <w:sz w:val="28"/>
          <w:szCs w:val="28"/>
          <w:shd w:val="clear" w:color="auto" w:fill="FFFFFF"/>
        </w:rPr>
        <w:t>表1 标准起草人分工表</w:t>
      </w:r>
    </w:p>
    <w:p w14:paraId="255A1DD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sz w:val="28"/>
          <w:szCs w:val="28"/>
          <w:shd w:val="clear" w:color="auto" w:fill="FFFFFF"/>
        </w:rPr>
      </w:pPr>
    </w:p>
    <w:p w14:paraId="53BE484D">
      <w:pPr>
        <w:keepNext w:val="0"/>
        <w:keepLines w:val="0"/>
        <w:pageBreakBefore w:val="0"/>
        <w:numPr>
          <w:ilvl w:val="0"/>
          <w:numId w:val="0"/>
        </w:numPr>
        <w:kinsoku/>
        <w:wordWrap/>
        <w:overflowPunct/>
        <w:topLinePunct w:val="0"/>
        <w:bidi w:val="0"/>
        <w:adjustRightInd w:val="0"/>
        <w:snapToGrid w:val="0"/>
        <w:spacing w:line="360" w:lineRule="auto"/>
        <w:ind w:firstLine="560"/>
        <w:textAlignment w:val="auto"/>
        <w:rPr>
          <w:rFonts w:hint="default" w:ascii="Times New Roman" w:hAnsi="Times New Roman" w:eastAsia="仿宋_GB2312" w:cs="Times New Roman"/>
          <w:b w:val="0"/>
          <w:bCs/>
          <w:color w:val="auto"/>
          <w:sz w:val="24"/>
          <w:lang w:val="en-US" w:eastAsia="zh-CN"/>
        </w:rPr>
      </w:pPr>
    </w:p>
    <w:p w14:paraId="6D49A7AD">
      <w:pPr>
        <w:keepNext w:val="0"/>
        <w:keepLines w:val="0"/>
        <w:pageBreakBefore w:val="0"/>
        <w:numPr>
          <w:ilvl w:val="0"/>
          <w:numId w:val="3"/>
        </w:numPr>
        <w:kinsoku/>
        <w:wordWrap/>
        <w:overflowPunct/>
        <w:topLinePunct w:val="0"/>
        <w:bidi w:val="0"/>
        <w:adjustRightInd/>
        <w:snapToGrid/>
        <w:spacing w:before="0" w:beforeAutospacing="0" w:after="0" w:afterAutospacing="0" w:line="560" w:lineRule="exact"/>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制定（修订）标准的必要性和意义</w:t>
      </w:r>
    </w:p>
    <w:p w14:paraId="554D2542">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1、必要性</w:t>
      </w:r>
    </w:p>
    <w:p w14:paraId="476A4966">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延长产业链，增加经济效益。果桑园和蚕种生产专用桑园春季必须进行摘芯以促进桑果和桑叶成熟，每亩桑园可产鲜桑芽20kg左右，生产桑芽茶4kg，折合增加产值3200元/亩。而我省现有果桑园和蚕种专用桑园4万亩，可增加产值1.28亿元/年。</w:t>
      </w:r>
    </w:p>
    <w:p w14:paraId="119004DA">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（2）变废为宝，开发保健产品。桑芽中不仅含有丰富的蛋白质、碳水化合物、无机盐、维生素、叶酸等营养成分，</w:t>
      </w:r>
      <w:bookmarkStart w:id="0" w:name="_GoBack"/>
      <w:r>
        <w:rPr>
          <w:rFonts w:hint="eastAsia" w:ascii="仿宋_GB2312" w:eastAsia="仿宋_GB2312"/>
          <w:sz w:val="32"/>
          <w:szCs w:val="32"/>
          <w:lang w:val="en-US" w:eastAsia="zh-CN"/>
        </w:rPr>
        <w:t>其它</w:t>
      </w:r>
      <w:bookmarkEnd w:id="0"/>
      <w:r>
        <w:rPr>
          <w:rFonts w:hint="eastAsia" w:ascii="仿宋_GB2312" w:eastAsia="仿宋_GB2312"/>
          <w:sz w:val="32"/>
          <w:szCs w:val="32"/>
          <w:lang w:val="en-US" w:eastAsia="zh-CN"/>
        </w:rPr>
        <w:t xml:space="preserve">独特功效的微量元素也较多，十分适于人类食用。具有清火、明目、降压、抗衰老、增加耐力、降低血脂、抑制肠内有害细菌繁殖和过氧化物产生等作用。利用果桑、蚕种生产专用桑园摘除的桑芽制作桑芽茶不仅可以变废为宝，还为人类贡献了具有天然保健功能的产品。 </w:t>
      </w:r>
    </w:p>
    <w:p w14:paraId="4467444B">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减少害虫危害，提高桑果桑叶质量。桑螟等桑树芽类害虫孵化初期要以取食桑树嫩芽为食，桑园摘芯扭断了这一类害虫的中间寄主，让孵化幼虫找不到食物而死亡，减轻对桑叶、桑果危害，提高了桑果和桑叶的产量与质量。</w:t>
      </w:r>
    </w:p>
    <w:p w14:paraId="1756C71A">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2、可行性</w:t>
      </w:r>
    </w:p>
    <w:p w14:paraId="6B35DC3D">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（1）技术成熟。项目单位通过多年探索与创新，已成功解决了桑芽茶加工过程中各技术参数与标准，产品质量稳定可靠，具备大规模生产条件。</w:t>
      </w:r>
    </w:p>
    <w:p w14:paraId="7C9603C7">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品牌建设。《桑芽茶加工技术规程》的编制，有助于规范和统一“桑芽茶”的加工工艺，实现“桑芽茶”的标准化生产，从而提高和保证“桑芽茶”品质和质量；同时有助于加强“桑芽茶”的品牌建设，对提高其市场地位具有重要推动作用。</w:t>
      </w:r>
    </w:p>
    <w:p w14:paraId="158A5830">
      <w:pPr>
        <w:keepNext w:val="0"/>
        <w:keepLines w:val="0"/>
        <w:pageBreakBefore w:val="0"/>
        <w:kinsoku/>
        <w:wordWrap/>
        <w:overflowPunct/>
        <w:topLinePunct w:val="0"/>
        <w:bidi w:val="0"/>
        <w:adjustRightInd/>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（3）市场可期。桑芽茶对人体的保健功能正在为广大消费者所熟知并逐步得到热捧，市场销量也正在不断升温，产品在上海、广州等大都市深受欢迎。</w:t>
      </w:r>
    </w:p>
    <w:p w14:paraId="6BD0883C">
      <w:pPr>
        <w:keepNext w:val="0"/>
        <w:keepLines w:val="0"/>
        <w:pageBreakBefore w:val="0"/>
        <w:kinsoku/>
        <w:wordWrap/>
        <w:overflowPunct/>
        <w:topLinePunct w:val="0"/>
        <w:bidi w:val="0"/>
        <w:adjustRightInd/>
        <w:spacing w:line="560" w:lineRule="exact"/>
        <w:ind w:firstLine="640" w:firstLineChars="200"/>
        <w:rPr>
          <w:rFonts w:hint="eastAsia" w:ascii="仿宋" w:hAnsi="仿宋" w:eastAsia="仿宋" w:cs="仿宋"/>
          <w:sz w:val="24"/>
          <w:lang w:val="en-US" w:eastAsia="zh-CN"/>
        </w:rPr>
      </w:pPr>
      <w:r>
        <w:rPr>
          <w:rFonts w:hint="eastAsia" w:ascii="仿宋_GB2312" w:eastAsia="仿宋_GB2312"/>
          <w:sz w:val="32"/>
          <w:szCs w:val="32"/>
          <w:lang w:val="en-US" w:eastAsia="zh-CN"/>
        </w:rPr>
        <w:t xml:space="preserve">（4）规范操作。本标准制定和实施可为江西省桑芽茶的生产企业和管理部门开展对桑芽茶加工的规范化评估提供技术参数和科学依据，便于保障消费者权益，对促进我省的桑产业和茶产业发展均具有重要的意义。 </w:t>
      </w:r>
      <w:r>
        <w:rPr>
          <w:rFonts w:hint="eastAsia" w:ascii="仿宋" w:hAnsi="仿宋" w:eastAsia="仿宋" w:cs="仿宋"/>
          <w:sz w:val="24"/>
          <w:lang w:val="en-US" w:eastAsia="zh-CN"/>
        </w:rPr>
        <w:t xml:space="preserve"> </w:t>
      </w:r>
    </w:p>
    <w:p w14:paraId="1F5F7BB0">
      <w:pPr>
        <w:keepNext w:val="0"/>
        <w:keepLines w:val="0"/>
        <w:pageBreakBefore w:val="0"/>
        <w:kinsoku/>
        <w:wordWrap/>
        <w:overflowPunct/>
        <w:topLinePunct w:val="0"/>
        <w:bidi w:val="0"/>
        <w:adjustRightInd/>
        <w:spacing w:line="560" w:lineRule="exact"/>
        <w:ind w:firstLine="480" w:firstLineChars="200"/>
        <w:rPr>
          <w:rFonts w:hint="eastAsia" w:eastAsia="黑体" w:cs="黑体"/>
          <w:sz w:val="32"/>
          <w:szCs w:val="32"/>
          <w:lang w:eastAsia="zh-CN"/>
        </w:rPr>
      </w:pPr>
      <w:r>
        <w:rPr>
          <w:rFonts w:hint="eastAsia" w:ascii="仿宋" w:hAnsi="仿宋" w:eastAsia="仿宋" w:cs="仿宋"/>
          <w:sz w:val="24"/>
          <w:lang w:val="en-US" w:eastAsia="zh-CN"/>
        </w:rPr>
        <w:t xml:space="preserve"> </w:t>
      </w:r>
      <w:r>
        <w:rPr>
          <w:rFonts w:hint="eastAsia" w:eastAsia="黑体" w:cs="黑体"/>
          <w:sz w:val="32"/>
          <w:szCs w:val="32"/>
        </w:rPr>
        <w:t>三、</w:t>
      </w:r>
      <w:r>
        <w:rPr>
          <w:rFonts w:hint="eastAsia" w:eastAsia="黑体" w:cs="黑体"/>
          <w:sz w:val="32"/>
          <w:szCs w:val="32"/>
          <w:lang w:eastAsia="zh-CN"/>
        </w:rPr>
        <w:t>主要起草过程</w:t>
      </w:r>
    </w:p>
    <w:p w14:paraId="5C1C07B8">
      <w:pPr>
        <w:keepNext w:val="0"/>
        <w:keepLines w:val="0"/>
        <w:pageBreakBefore w:val="0"/>
        <w:widowControl/>
        <w:kinsoku/>
        <w:wordWrap/>
        <w:overflowPunct/>
        <w:topLinePunct w:val="0"/>
        <w:bidi w:val="0"/>
        <w:adjustRightInd/>
        <w:snapToGrid w:val="0"/>
        <w:spacing w:beforeLines="50" w:afterLines="50" w:line="560" w:lineRule="exact"/>
        <w:ind w:firstLine="640" w:firstLineChars="200"/>
        <w:rPr>
          <w:rFonts w:ascii="仿宋_GB2312" w:eastAsia="仿宋_GB2312"/>
          <w:kern w:val="0"/>
          <w:sz w:val="32"/>
          <w:szCs w:val="32"/>
        </w:rPr>
      </w:pPr>
      <w:r>
        <w:rPr>
          <w:rFonts w:ascii="仿宋_GB2312" w:eastAsia="仿宋_GB2312"/>
          <w:kern w:val="0"/>
          <w:sz w:val="32"/>
          <w:szCs w:val="32"/>
        </w:rPr>
        <w:t>1、成立标准起草小组。</w:t>
      </w:r>
      <w:r>
        <w:rPr>
          <w:rFonts w:hint="eastAsia" w:ascii="仿宋_GB2312" w:eastAsia="仿宋_GB2312"/>
          <w:kern w:val="0"/>
          <w:sz w:val="32"/>
          <w:szCs w:val="32"/>
          <w:lang w:val="en-US" w:eastAsia="zh-CN"/>
        </w:rPr>
        <w:t>修水县蚕桑产业服务</w:t>
      </w:r>
      <w:r>
        <w:rPr>
          <w:rFonts w:hint="eastAsia" w:ascii="仿宋_GB2312" w:eastAsia="仿宋_GB2312"/>
          <w:kern w:val="0"/>
          <w:sz w:val="32"/>
          <w:szCs w:val="32"/>
          <w:lang w:eastAsia="zh-CN"/>
        </w:rPr>
        <w:t>中心</w:t>
      </w:r>
      <w:r>
        <w:rPr>
          <w:rFonts w:hint="eastAsia" w:ascii="仿宋_GB2312" w:eastAsia="仿宋_GB2312"/>
          <w:kern w:val="0"/>
          <w:sz w:val="32"/>
          <w:szCs w:val="32"/>
          <w:lang w:val="en-US" w:eastAsia="zh-CN"/>
        </w:rPr>
        <w:t>与江西省经济作物研究所等单位</w:t>
      </w:r>
      <w:r>
        <w:rPr>
          <w:rFonts w:ascii="仿宋_GB2312" w:eastAsia="仿宋_GB2312"/>
          <w:kern w:val="0"/>
          <w:sz w:val="32"/>
          <w:szCs w:val="32"/>
        </w:rPr>
        <w:t>拟申报《</w:t>
      </w:r>
      <w:r>
        <w:rPr>
          <w:rFonts w:hint="eastAsia" w:ascii="仿宋_GB2312" w:eastAsia="仿宋_GB2312"/>
          <w:sz w:val="32"/>
          <w:szCs w:val="32"/>
          <w:lang w:val="en-US" w:eastAsia="zh-CN"/>
        </w:rPr>
        <w:t>桑芽茶加工技术规程</w:t>
      </w:r>
      <w:r>
        <w:rPr>
          <w:rFonts w:ascii="仿宋_GB2312" w:eastAsia="仿宋_GB2312"/>
          <w:kern w:val="0"/>
          <w:sz w:val="32"/>
          <w:szCs w:val="32"/>
        </w:rPr>
        <w:t>》江西省地方标准时，立即由主要起草人牵头组织成立起草小组，研讨标准编制前期调研、资料收集与补充、标准相关要求与进度以及人员分工等，确保标准编制过程中各个环节顺利实施。</w:t>
      </w:r>
    </w:p>
    <w:p w14:paraId="510C829E">
      <w:pPr>
        <w:keepNext w:val="0"/>
        <w:keepLines w:val="0"/>
        <w:pageBreakBefore w:val="0"/>
        <w:kinsoku/>
        <w:wordWrap/>
        <w:overflowPunct/>
        <w:topLinePunct w:val="0"/>
        <w:bidi w:val="0"/>
        <w:adjustRightInd/>
        <w:spacing w:line="560" w:lineRule="exact"/>
        <w:ind w:firstLine="645"/>
        <w:rPr>
          <w:rFonts w:ascii="仿宋_GB2312" w:eastAsia="仿宋_GB2312"/>
          <w:sz w:val="32"/>
          <w:szCs w:val="32"/>
        </w:rPr>
      </w:pPr>
      <w:r>
        <w:rPr>
          <w:rFonts w:hint="eastAsia" w:ascii="仿宋_GB2312" w:eastAsia="仿宋_GB2312"/>
          <w:b/>
          <w:sz w:val="32"/>
          <w:szCs w:val="32"/>
        </w:rPr>
        <w:t xml:space="preserve"> 2、</w:t>
      </w:r>
      <w:r>
        <w:rPr>
          <w:rFonts w:hint="eastAsia" w:ascii="仿宋_GB2312" w:eastAsia="仿宋_GB2312"/>
          <w:kern w:val="0"/>
          <w:sz w:val="32"/>
          <w:szCs w:val="32"/>
        </w:rPr>
        <w:t>收集材料。</w:t>
      </w:r>
      <w:r>
        <w:rPr>
          <w:rFonts w:hint="eastAsia" w:ascii="仿宋_GB2312" w:eastAsia="仿宋_GB2312"/>
          <w:sz w:val="32"/>
          <w:szCs w:val="32"/>
        </w:rPr>
        <w:t>我们根据</w:t>
      </w:r>
      <w:r>
        <w:rPr>
          <w:rFonts w:hint="eastAsia" w:ascii="仿宋_GB2312" w:eastAsia="仿宋_GB2312"/>
          <w:sz w:val="32"/>
          <w:szCs w:val="32"/>
          <w:lang w:val="en-US" w:eastAsia="zh-CN"/>
        </w:rPr>
        <w:t>江西省蚕种专用桑园与果桑生产</w:t>
      </w:r>
      <w:r>
        <w:rPr>
          <w:rFonts w:hint="eastAsia" w:ascii="仿宋_GB2312" w:eastAsia="仿宋_GB2312"/>
          <w:sz w:val="32"/>
          <w:szCs w:val="32"/>
          <w:lang w:eastAsia="zh-CN"/>
        </w:rPr>
        <w:t>情况</w:t>
      </w:r>
      <w:r>
        <w:rPr>
          <w:rFonts w:hint="eastAsia" w:ascii="仿宋_GB2312" w:eastAsia="仿宋_GB2312"/>
          <w:sz w:val="32"/>
          <w:szCs w:val="32"/>
        </w:rPr>
        <w:t>，</w:t>
      </w:r>
      <w:r>
        <w:rPr>
          <w:rFonts w:hint="eastAsia" w:ascii="仿宋_GB2312" w:eastAsia="仿宋_GB2312"/>
          <w:sz w:val="32"/>
          <w:szCs w:val="32"/>
          <w:lang w:eastAsia="zh-CN"/>
        </w:rPr>
        <w:t>起草了</w:t>
      </w:r>
      <w:r>
        <w:rPr>
          <w:rFonts w:hint="eastAsia" w:ascii="仿宋_GB2312" w:eastAsia="仿宋_GB2312"/>
          <w:sz w:val="32"/>
          <w:szCs w:val="32"/>
        </w:rPr>
        <w:t>《</w:t>
      </w:r>
      <w:r>
        <w:rPr>
          <w:rFonts w:hint="eastAsia" w:ascii="仿宋_GB2312" w:eastAsia="仿宋_GB2312"/>
          <w:sz w:val="32"/>
          <w:szCs w:val="32"/>
          <w:lang w:val="en-US" w:eastAsia="zh-CN"/>
        </w:rPr>
        <w:t>桑芽茶加工技术规程</w:t>
      </w:r>
      <w:r>
        <w:rPr>
          <w:rFonts w:hint="eastAsia" w:ascii="仿宋_GB2312" w:eastAsia="仿宋_GB2312"/>
          <w:sz w:val="32"/>
          <w:szCs w:val="32"/>
        </w:rPr>
        <w:t>》</w:t>
      </w:r>
      <w:r>
        <w:rPr>
          <w:rFonts w:hint="eastAsia" w:ascii="仿宋_GB2312" w:eastAsia="仿宋_GB2312"/>
          <w:sz w:val="32"/>
          <w:szCs w:val="32"/>
          <w:lang w:eastAsia="zh-CN"/>
        </w:rPr>
        <w:t>标准初稿</w:t>
      </w:r>
      <w:r>
        <w:rPr>
          <w:rFonts w:hint="eastAsia" w:ascii="仿宋_GB2312" w:eastAsia="仿宋_GB2312"/>
          <w:sz w:val="32"/>
          <w:szCs w:val="32"/>
        </w:rPr>
        <w:t>，并向省标准化委员会申请立项。我们在总结前期</w:t>
      </w:r>
      <w:r>
        <w:rPr>
          <w:rFonts w:hint="eastAsia" w:ascii="仿宋_GB2312" w:eastAsia="仿宋_GB2312"/>
          <w:sz w:val="32"/>
          <w:szCs w:val="32"/>
          <w:lang w:eastAsia="zh-CN"/>
        </w:rPr>
        <w:t>观察</w:t>
      </w:r>
      <w:r>
        <w:rPr>
          <w:rFonts w:hint="eastAsia" w:ascii="仿宋_GB2312" w:eastAsia="仿宋_GB2312"/>
          <w:sz w:val="32"/>
          <w:szCs w:val="32"/>
        </w:rPr>
        <w:t>研究的基础上，再次对</w:t>
      </w:r>
      <w:r>
        <w:rPr>
          <w:rFonts w:hint="eastAsia" w:ascii="仿宋_GB2312" w:eastAsia="仿宋_GB2312"/>
          <w:sz w:val="32"/>
          <w:szCs w:val="32"/>
          <w:lang w:val="en-US" w:eastAsia="zh-CN"/>
        </w:rPr>
        <w:t>桑芽茶的加工</w:t>
      </w:r>
      <w:r>
        <w:rPr>
          <w:rFonts w:hint="eastAsia" w:ascii="仿宋_GB2312" w:eastAsia="仿宋_GB2312"/>
          <w:sz w:val="32"/>
          <w:szCs w:val="32"/>
        </w:rPr>
        <w:t>进行了调研，广泛征求</w:t>
      </w:r>
      <w:r>
        <w:rPr>
          <w:rFonts w:hint="eastAsia" w:ascii="仿宋_GB2312" w:eastAsia="仿宋_GB2312"/>
          <w:sz w:val="32"/>
          <w:szCs w:val="32"/>
          <w:lang w:val="en-US" w:eastAsia="zh-CN"/>
        </w:rPr>
        <w:t>全省蚕种生产、果桑种植及桑芽茶加工企业</w:t>
      </w:r>
      <w:r>
        <w:rPr>
          <w:rFonts w:hint="eastAsia" w:ascii="仿宋_GB2312" w:eastAsia="仿宋_GB2312"/>
          <w:sz w:val="32"/>
          <w:szCs w:val="32"/>
        </w:rPr>
        <w:t>及市、县行业主管部门的意见建议使得标准草案更具有科学</w:t>
      </w:r>
      <w:r>
        <w:rPr>
          <w:rFonts w:hint="eastAsia" w:ascii="仿宋_GB2312" w:eastAsia="仿宋_GB2312"/>
          <w:sz w:val="32"/>
          <w:szCs w:val="32"/>
          <w:lang w:val="en-US" w:eastAsia="zh-CN"/>
        </w:rPr>
        <w:t>性</w:t>
      </w:r>
      <w:r>
        <w:rPr>
          <w:rFonts w:hint="eastAsia" w:ascii="仿宋_GB2312" w:eastAsia="仿宋_GB2312"/>
          <w:sz w:val="32"/>
          <w:szCs w:val="32"/>
        </w:rPr>
        <w:t>、规范</w:t>
      </w:r>
      <w:r>
        <w:rPr>
          <w:rFonts w:hint="eastAsia" w:ascii="仿宋_GB2312" w:eastAsia="仿宋_GB2312"/>
          <w:sz w:val="32"/>
          <w:szCs w:val="32"/>
          <w:lang w:val="en-US" w:eastAsia="zh-CN"/>
        </w:rPr>
        <w:t>性</w:t>
      </w:r>
      <w:r>
        <w:rPr>
          <w:rFonts w:hint="eastAsia" w:ascii="仿宋_GB2312" w:eastAsia="仿宋_GB2312"/>
          <w:sz w:val="32"/>
          <w:szCs w:val="32"/>
        </w:rPr>
        <w:t>、实用</w:t>
      </w:r>
      <w:r>
        <w:rPr>
          <w:rFonts w:hint="eastAsia" w:ascii="仿宋_GB2312" w:eastAsia="仿宋_GB2312"/>
          <w:sz w:val="32"/>
          <w:szCs w:val="32"/>
          <w:lang w:val="en-US" w:eastAsia="zh-CN"/>
        </w:rPr>
        <w:t>性</w:t>
      </w:r>
      <w:r>
        <w:rPr>
          <w:rFonts w:hint="eastAsia" w:ascii="仿宋_GB2312" w:eastAsia="仿宋_GB2312"/>
          <w:sz w:val="32"/>
          <w:szCs w:val="32"/>
        </w:rPr>
        <w:t>和可操作性。</w:t>
      </w:r>
    </w:p>
    <w:p w14:paraId="4140B4DB">
      <w:pPr>
        <w:keepNext w:val="0"/>
        <w:keepLines w:val="0"/>
        <w:pageBreakBefore w:val="0"/>
        <w:kinsoku/>
        <w:wordWrap/>
        <w:overflowPunct/>
        <w:topLinePunct w:val="0"/>
        <w:bidi w:val="0"/>
        <w:adjustRightInd/>
        <w:snapToGrid w:val="0"/>
        <w:spacing w:beforeLines="50" w:afterLines="50" w:line="560" w:lineRule="exact"/>
        <w:ind w:firstLine="480"/>
        <w:rPr>
          <w:rFonts w:hint="eastAsia" w:ascii="仿宋_GB2312" w:eastAsia="仿宋_GB2312"/>
          <w:sz w:val="32"/>
          <w:szCs w:val="32"/>
        </w:rPr>
      </w:pPr>
      <w:r>
        <w:rPr>
          <w:rFonts w:hint="eastAsia" w:ascii="仿宋_GB2312" w:eastAsia="仿宋_GB2312"/>
          <w:sz w:val="32"/>
          <w:szCs w:val="32"/>
        </w:rPr>
        <w:t>3、起草标准征求意见稿。根据整理的调查研究资料以及</w:t>
      </w:r>
      <w:r>
        <w:rPr>
          <w:rFonts w:hint="eastAsia" w:ascii="仿宋_GB2312" w:eastAsia="仿宋_GB2312"/>
          <w:sz w:val="32"/>
          <w:szCs w:val="32"/>
          <w:lang w:eastAsia="zh-CN"/>
        </w:rPr>
        <w:t>相关观察生产数据</w:t>
      </w:r>
      <w:r>
        <w:rPr>
          <w:rFonts w:hint="eastAsia" w:ascii="仿宋_GB2312" w:eastAsia="仿宋_GB2312"/>
          <w:sz w:val="32"/>
          <w:szCs w:val="32"/>
        </w:rPr>
        <w:t>结果，结合相关文献资料，起草编写了《</w:t>
      </w:r>
      <w:r>
        <w:rPr>
          <w:rFonts w:hint="eastAsia" w:ascii="仿宋_GB2312" w:eastAsia="仿宋_GB2312"/>
          <w:sz w:val="32"/>
          <w:szCs w:val="32"/>
          <w:lang w:val="en-US" w:eastAsia="zh-CN"/>
        </w:rPr>
        <w:t>桑芽茶加工技术规程</w:t>
      </w:r>
      <w:r>
        <w:rPr>
          <w:rFonts w:hint="eastAsia" w:ascii="仿宋_GB2312" w:eastAsia="仿宋_GB2312"/>
          <w:sz w:val="32"/>
          <w:szCs w:val="32"/>
        </w:rPr>
        <w:t>》标准的初稿。初稿完成后，起草小组成员针对各条款进行了认真研究和讨论，修改形成本标准征求意见稿。</w:t>
      </w:r>
    </w:p>
    <w:p w14:paraId="71886F27">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四、制定（修订）标准和原则和依据，与现行法律、法规、标准的关系</w:t>
      </w:r>
    </w:p>
    <w:p w14:paraId="7C7F6E83">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Fonts w:hint="eastAsia" w:ascii="仿宋_GB2312" w:eastAsia="仿宋_GB2312"/>
          <w:sz w:val="32"/>
          <w:szCs w:val="32"/>
          <w:lang w:val="en-US" w:eastAsia="zh-CN"/>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（一）原则</w:t>
      </w:r>
    </w:p>
    <w:p w14:paraId="4B6ABACB">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Fonts w:hint="eastAsia" w:ascii="仿宋_GB2312" w:eastAsia="仿宋_GB2312"/>
          <w:sz w:val="32"/>
          <w:szCs w:val="32"/>
          <w:lang w:eastAsia="zh-CN"/>
        </w:rPr>
      </w:pPr>
      <w:r>
        <w:rPr>
          <w:rFonts w:hint="eastAsia" w:ascii="仿宋_GB2312" w:eastAsia="仿宋_GB2312"/>
          <w:sz w:val="32"/>
          <w:szCs w:val="32"/>
          <w:lang w:eastAsia="zh-CN"/>
        </w:rPr>
        <w:t>遵守国家法律和行政法规的规定：</w:t>
      </w:r>
    </w:p>
    <w:p w14:paraId="35010080">
      <w:pPr>
        <w:keepNext w:val="0"/>
        <w:keepLines w:val="0"/>
        <w:pageBreakBefore w:val="0"/>
        <w:kinsoku/>
        <w:wordWrap/>
        <w:overflowPunct/>
        <w:topLinePunct w:val="0"/>
        <w:bidi w:val="0"/>
        <w:adjustRightInd/>
        <w:snapToGrid w:val="0"/>
        <w:spacing w:beforeLines="50" w:afterLines="50" w:line="560" w:lineRule="exact"/>
        <w:ind w:firstLine="480"/>
        <w:rPr>
          <w:rFonts w:hint="eastAsia" w:ascii="仿宋_GB2312" w:eastAsia="仿宋_GB2312"/>
          <w:sz w:val="32"/>
          <w:szCs w:val="32"/>
          <w:lang w:eastAsia="zh-CN"/>
        </w:rPr>
      </w:pPr>
      <w:r>
        <w:rPr>
          <w:rFonts w:hint="eastAsia" w:ascii="仿宋_GB2312" w:eastAsia="仿宋_GB2312"/>
          <w:sz w:val="32"/>
          <w:szCs w:val="32"/>
          <w:lang w:eastAsia="zh-CN"/>
        </w:rPr>
        <w:t>符合GB/T 1.1-2020《标准化工作导则 第1部分：</w:t>
      </w:r>
      <w:r>
        <w:rPr>
          <w:rFonts w:hint="eastAsia" w:ascii="仿宋_GB2312" w:eastAsia="仿宋_GB2312"/>
          <w:sz w:val="32"/>
          <w:szCs w:val="32"/>
          <w:lang w:val="en-US" w:eastAsia="zh-CN"/>
        </w:rPr>
        <w:t>标准化</w:t>
      </w:r>
      <w:r>
        <w:rPr>
          <w:rFonts w:hint="eastAsia" w:ascii="仿宋_GB2312" w:eastAsia="仿宋_GB2312"/>
          <w:sz w:val="32"/>
          <w:szCs w:val="32"/>
          <w:lang w:eastAsia="zh-CN"/>
        </w:rPr>
        <w:t>文件的结构和</w:t>
      </w:r>
      <w:r>
        <w:rPr>
          <w:rFonts w:hint="eastAsia" w:ascii="仿宋_GB2312" w:eastAsia="仿宋_GB2312"/>
          <w:sz w:val="32"/>
          <w:szCs w:val="32"/>
          <w:lang w:val="en-US" w:eastAsia="zh-CN"/>
        </w:rPr>
        <w:t>起草</w:t>
      </w:r>
      <w:r>
        <w:rPr>
          <w:rFonts w:hint="eastAsia" w:ascii="仿宋_GB2312" w:eastAsia="仿宋_GB2312"/>
          <w:sz w:val="32"/>
          <w:szCs w:val="32"/>
          <w:lang w:eastAsia="zh-CN"/>
        </w:rPr>
        <w:t>规则》</w:t>
      </w:r>
      <w:r>
        <w:rPr>
          <w:rFonts w:hint="eastAsia" w:ascii="仿宋_GB2312" w:eastAsia="仿宋_GB2312"/>
          <w:sz w:val="32"/>
          <w:szCs w:val="32"/>
          <w:lang w:val="en-US" w:eastAsia="zh-CN"/>
        </w:rPr>
        <w:t>的</w:t>
      </w:r>
      <w:r>
        <w:rPr>
          <w:rFonts w:hint="eastAsia" w:ascii="仿宋_GB2312" w:eastAsia="仿宋_GB2312"/>
          <w:sz w:val="32"/>
          <w:szCs w:val="32"/>
          <w:lang w:eastAsia="zh-CN"/>
        </w:rPr>
        <w:t>规定</w:t>
      </w:r>
      <w:r>
        <w:rPr>
          <w:rFonts w:hint="eastAsia" w:ascii="仿宋_GB2312" w:eastAsia="仿宋_GB2312"/>
          <w:sz w:val="32"/>
          <w:szCs w:val="32"/>
          <w:lang w:val="en-US" w:eastAsia="zh-CN"/>
        </w:rPr>
        <w:t>起草</w:t>
      </w:r>
      <w:r>
        <w:rPr>
          <w:rFonts w:hint="eastAsia" w:ascii="仿宋_GB2312" w:eastAsia="仿宋_GB2312"/>
          <w:sz w:val="32"/>
          <w:szCs w:val="32"/>
          <w:lang w:eastAsia="zh-CN"/>
        </w:rPr>
        <w:t>。</w:t>
      </w:r>
    </w:p>
    <w:p w14:paraId="6E117821">
      <w:pPr>
        <w:keepNext w:val="0"/>
        <w:keepLines w:val="0"/>
        <w:pageBreakBefore w:val="0"/>
        <w:kinsoku/>
        <w:wordWrap/>
        <w:overflowPunct/>
        <w:topLinePunct w:val="0"/>
        <w:bidi w:val="0"/>
        <w:adjustRightInd/>
        <w:snapToGrid w:val="0"/>
        <w:spacing w:beforeLines="50" w:afterLines="50" w:line="560" w:lineRule="exact"/>
        <w:ind w:firstLine="480"/>
        <w:rPr>
          <w:rFonts w:hint="eastAsia" w:ascii="仿宋_GB2312" w:eastAsia="仿宋_GB2312"/>
          <w:sz w:val="32"/>
          <w:szCs w:val="32"/>
          <w:lang w:val="en-US" w:eastAsia="zh-CN"/>
        </w:rPr>
      </w:pPr>
      <w:r>
        <w:rPr>
          <w:rFonts w:hint="eastAsia" w:ascii="仿宋_GB2312" w:eastAsia="仿宋_GB2312"/>
          <w:sz w:val="32"/>
          <w:szCs w:val="32"/>
          <w:lang w:val="en-US" w:eastAsia="zh-CN"/>
        </w:rPr>
        <w:t>符合国家标准要求的表达方式，适应行业内的表达方式。</w:t>
      </w:r>
    </w:p>
    <w:p w14:paraId="7D4DBF6B">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firstLine="640" w:firstLine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（二）依据</w:t>
      </w:r>
    </w:p>
    <w:p w14:paraId="2231C229">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NY/T 5010-2016  行业标准 无公害农产品 种植业产地环境条件</w:t>
      </w:r>
    </w:p>
    <w:p w14:paraId="36C32F92">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14881 食品安全国家标准 食品生产通用卫生规范</w:t>
      </w:r>
    </w:p>
    <w:p w14:paraId="0C0EF193">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5009.3 食品安全国家标准 食品中水分的测定</w:t>
      </w:r>
    </w:p>
    <w:p w14:paraId="5BF1A8BE">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5009.4 食品安全国家标准 食品中灰分的测定</w:t>
      </w:r>
    </w:p>
    <w:p w14:paraId="4BF888B1">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2762 食品安全国家标准 食品中污染物限量</w:t>
      </w:r>
    </w:p>
    <w:p w14:paraId="03FD48E1">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2763 食品安全国家标准 食品中农药最大残留限量</w:t>
      </w:r>
    </w:p>
    <w:p w14:paraId="767390CD">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JJF 1070 定量包装商品净含量计量检验规则</w:t>
      </w:r>
    </w:p>
    <w:p w14:paraId="76324CEC">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GB/T 8302 茶 取样</w:t>
      </w:r>
    </w:p>
    <w:p w14:paraId="496EBC95">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国家市场监督管理总局</w:t>
      </w:r>
      <w:r>
        <w:rPr>
          <w:rFonts w:hint="eastAsia" w:ascii="仿宋_GB2312" w:eastAsia="仿宋_GB2312" w:cs="Times New Roman"/>
          <w:kern w:val="2"/>
          <w:sz w:val="32"/>
          <w:szCs w:val="32"/>
          <w:lang w:val="en-US" w:eastAsia="zh-CN" w:bidi="ar-SA"/>
        </w:rPr>
        <w:t>〔2023〕70号</w:t>
      </w:r>
      <w:r>
        <w:rPr>
          <w:rFonts w:hint="default" w:ascii="仿宋_GB2312" w:hAnsi="Times New Roman" w:eastAsia="仿宋_GB2312" w:cs="Times New Roman"/>
          <w:kern w:val="2"/>
          <w:sz w:val="32"/>
          <w:szCs w:val="32"/>
          <w:lang w:val="en-US" w:eastAsia="zh-CN" w:bidi="ar-SA"/>
        </w:rPr>
        <w:t>令《定量包装商品计量监督管理办法》</w:t>
      </w:r>
    </w:p>
    <w:p w14:paraId="4B5F6554">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GB/T 191  包装储运图示标志</w:t>
      </w:r>
    </w:p>
    <w:p w14:paraId="40D1CC67">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7718 食品安全国家标准 预包装食品标签通则</w:t>
      </w:r>
    </w:p>
    <w:p w14:paraId="20816505">
      <w:pPr>
        <w:pStyle w:val="10"/>
        <w:keepNext w:val="0"/>
        <w:keepLines w:val="0"/>
        <w:pageBreakBefore w:val="0"/>
        <w:kinsoku/>
        <w:wordWrap/>
        <w:overflowPunct/>
        <w:topLinePunct w:val="0"/>
        <w:bidi w:val="0"/>
        <w:adjustRightInd/>
        <w:spacing w:line="560" w:lineRule="exact"/>
        <w:rPr>
          <w:rFonts w:hint="default" w:ascii="仿宋_GB2312" w:hAnsi="Times New Roman" w:eastAsia="仿宋_GB2312" w:cs="Times New Roman"/>
          <w:kern w:val="2"/>
          <w:sz w:val="32"/>
          <w:szCs w:val="32"/>
          <w:lang w:val="en-US" w:eastAsia="zh-CN" w:bidi="ar-SA"/>
        </w:rPr>
      </w:pPr>
      <w:r>
        <w:rPr>
          <w:rFonts w:hint="default" w:ascii="仿宋_GB2312" w:hAnsi="Times New Roman" w:eastAsia="仿宋_GB2312" w:cs="Times New Roman"/>
          <w:kern w:val="2"/>
          <w:sz w:val="32"/>
          <w:szCs w:val="32"/>
          <w:lang w:val="en-US" w:eastAsia="zh-CN" w:bidi="ar-SA"/>
        </w:rPr>
        <w:t>GB 4806.1 食品安全国家标准 食品接触材料及制品通用安全要求</w:t>
      </w:r>
    </w:p>
    <w:p w14:paraId="76BB2F6D">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left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（三）与现行法律、法规、标准的关系</w:t>
      </w:r>
    </w:p>
    <w:p w14:paraId="5BD42D1B">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firstLine="640" w:firstLineChars="200"/>
        <w:jc w:val="both"/>
        <w:textAlignment w:val="baseline"/>
        <w:rPr>
          <w:rFonts w:hint="default" w:ascii="仿宋_GB2312" w:eastAsia="仿宋_GB2312"/>
          <w:sz w:val="32"/>
          <w:szCs w:val="32"/>
          <w:lang w:val="en-US" w:eastAsia="zh-CN"/>
        </w:rPr>
      </w:pPr>
      <w:r>
        <w:rPr>
          <w:rFonts w:hint="eastAsia" w:ascii="仿宋_GB2312" w:eastAsia="仿宋_GB2312"/>
          <w:sz w:val="32"/>
          <w:szCs w:val="32"/>
          <w:lang w:val="en-US" w:eastAsia="zh-CN"/>
        </w:rPr>
        <w:t>经广泛调研和多方面征求意见建议，本标准有关技术要求、技术方法、性能指标等符合现行法律、法规、规章及有关强制性标准要求并具有一致性。</w:t>
      </w:r>
    </w:p>
    <w:p w14:paraId="3B8026B1">
      <w:pPr>
        <w:keepNext w:val="0"/>
        <w:keepLines w:val="0"/>
        <w:pageBreakBefore w:val="0"/>
        <w:numPr>
          <w:ilvl w:val="0"/>
          <w:numId w:val="4"/>
        </w:numPr>
        <w:kinsoku/>
        <w:wordWrap/>
        <w:overflowPunct/>
        <w:topLinePunct w:val="0"/>
        <w:bidi w:val="0"/>
        <w:adjustRightInd/>
        <w:snapToGrid/>
        <w:spacing w:before="0" w:beforeAutospacing="0" w:after="0" w:afterAutospacing="0" w:line="560" w:lineRule="exact"/>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主要条款的说明</w:t>
      </w:r>
    </w:p>
    <w:p w14:paraId="1E111D51">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firstLine="640" w:firstLineChars="200"/>
        <w:jc w:val="both"/>
        <w:textAlignment w:val="baseline"/>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本文件规定了桑芽茶的术语和定义、原料要求、技术要求、品质要求、检验规则、标志、标签、包装、运输和贮存等。</w:t>
      </w:r>
    </w:p>
    <w:p w14:paraId="692199BE">
      <w:pPr>
        <w:pStyle w:val="10"/>
        <w:keepNext w:val="0"/>
        <w:keepLines w:val="0"/>
        <w:pageBreakBefore w:val="0"/>
        <w:kinsoku/>
        <w:wordWrap/>
        <w:overflowPunct/>
        <w:topLinePunct w:val="0"/>
        <w:bidi w:val="0"/>
        <w:adjustRightInd/>
        <w:spacing w:line="560" w:lineRule="exact"/>
        <w:rPr>
          <w:rFonts w:hint="eastAsia" w:ascii="仿宋_GB2312" w:eastAsia="仿宋_GB2312"/>
          <w:sz w:val="32"/>
          <w:szCs w:val="32"/>
          <w:lang w:eastAsia="zh-CN"/>
        </w:rPr>
      </w:pPr>
      <w:r>
        <w:rPr>
          <w:rFonts w:hint="eastAsia" w:ascii="仿宋_GB2312" w:hAnsi="Times New Roman" w:eastAsia="仿宋_GB2312" w:cs="Times New Roman"/>
          <w:kern w:val="2"/>
          <w:sz w:val="32"/>
          <w:szCs w:val="32"/>
          <w:lang w:val="en-US" w:eastAsia="zh-CN" w:bidi="ar-SA"/>
        </w:rPr>
        <w:t>本标准适用于在江西省采用新鲜桑芽生产的桑芽茶。</w:t>
      </w:r>
    </w:p>
    <w:p w14:paraId="0645742C">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六、采用国际标准或国外先进标准的，说明采标程度，以及国内外同类标准水平的对比情况。</w:t>
      </w:r>
    </w:p>
    <w:p w14:paraId="5007AEDF">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firstLine="64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无相关标准</w:t>
      </w:r>
    </w:p>
    <w:p w14:paraId="2693A6BD">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七、作为推荐性或强制性标准的建议及其理由</w:t>
      </w:r>
    </w:p>
    <w:p w14:paraId="47B7A536">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Style w:val="15"/>
          <w:rFonts w:hint="default" w:ascii="华文中宋" w:hAnsi="华文中宋" w:eastAsia="华文中宋"/>
          <w:b w:val="0"/>
          <w:i w:val="0"/>
          <w:caps w:val="0"/>
          <w:spacing w:val="0"/>
          <w:w w:val="100"/>
          <w:kern w:val="2"/>
          <w:sz w:val="32"/>
          <w:szCs w:val="32"/>
          <w:lang w:val="en-US" w:eastAsia="zh-CN" w:bidi="ar-SA"/>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建议《桑芽茶加工技术规程》作为推荐性标准发布实施。本标准制定实施有利于规范桑芽茶生产、包装、销售等技术操作，保障产品质量并促进产品销售，提高蚕桑产业综合效益，实现农民增收、企业增效、经济发展。</w:t>
      </w:r>
    </w:p>
    <w:p w14:paraId="59934355">
      <w:pPr>
        <w:keepNext w:val="0"/>
        <w:keepLines w:val="0"/>
        <w:pageBreakBefore w:val="0"/>
        <w:numPr>
          <w:ilvl w:val="0"/>
          <w:numId w:val="5"/>
        </w:numPr>
        <w:kinsoku/>
        <w:wordWrap/>
        <w:overflowPunct/>
        <w:topLinePunct w:val="0"/>
        <w:bidi w:val="0"/>
        <w:adjustRightInd/>
        <w:snapToGrid/>
        <w:spacing w:before="0" w:beforeAutospacing="0" w:after="0" w:afterAutospacing="0" w:line="560" w:lineRule="exact"/>
        <w:ind w:left="0" w:leftChars="0" w:firstLine="0" w:firstLineChars="0"/>
        <w:jc w:val="both"/>
        <w:textAlignment w:val="baseline"/>
        <w:rPr>
          <w:rStyle w:val="15"/>
          <w:rFonts w:hint="eastAsia"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 xml:space="preserve">贯彻标准的措施建议  </w:t>
      </w:r>
    </w:p>
    <w:p w14:paraId="573A91E5">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jc w:val="both"/>
        <w:textAlignment w:val="baseline"/>
        <w:rPr>
          <w:rFonts w:hint="eastAsia" w:ascii="仿宋_GB2312" w:eastAsia="仿宋_GB2312"/>
          <w:sz w:val="32"/>
          <w:szCs w:val="32"/>
          <w:lang w:val="en-US" w:eastAsia="zh-CN"/>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本标准是地方标准，适应于原蚕户、果桑生产合作社（家庭农场）、桑芽茶生产企业等实施主体。上述实施主体在各阶段应严格执行本标准技术要求，让标准在产品生产过程中发挥积极指导作用。</w:t>
      </w:r>
    </w:p>
    <w:p w14:paraId="3EE83BCB">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firstLine="640" w:firstLineChars="200"/>
        <w:jc w:val="both"/>
        <w:textAlignment w:val="baseline"/>
        <w:rPr>
          <w:rFonts w:hint="eastAsia" w:ascii="仿宋_GB2312" w:eastAsia="仿宋_GB2312"/>
          <w:sz w:val="32"/>
          <w:szCs w:val="32"/>
          <w:lang w:val="en-US" w:eastAsia="zh-CN"/>
        </w:rPr>
      </w:pPr>
      <w:r>
        <w:rPr>
          <w:rFonts w:hint="eastAsia" w:ascii="仿宋_GB2312" w:eastAsia="仿宋_GB2312"/>
          <w:sz w:val="32"/>
          <w:szCs w:val="32"/>
          <w:lang w:val="en-US" w:eastAsia="zh-CN"/>
        </w:rPr>
        <w:t>本标准制定实施后，一要加大宣传力度，让更多企业用户知道标准的作用，用于指导生产；二是加强技术培训，通过培训，让生产者、经营者更加熟悉、理解标准，做到正确应用标准，让标准最大程度发挥作用和产生效益：三是注重示范引导，有效引导带动广大用户遵照采用规程标准。</w:t>
      </w:r>
    </w:p>
    <w:p w14:paraId="4B69DA61">
      <w:pPr>
        <w:keepNext w:val="0"/>
        <w:keepLines w:val="0"/>
        <w:pageBreakBefore w:val="0"/>
        <w:numPr>
          <w:ilvl w:val="0"/>
          <w:numId w:val="5"/>
        </w:numPr>
        <w:kinsoku/>
        <w:wordWrap/>
        <w:overflowPunct/>
        <w:topLinePunct w:val="0"/>
        <w:bidi w:val="0"/>
        <w:adjustRightInd/>
        <w:snapToGrid/>
        <w:spacing w:before="0" w:beforeAutospacing="0" w:after="0" w:afterAutospacing="0" w:line="560" w:lineRule="exact"/>
        <w:ind w:left="0" w:leftChars="0" w:firstLine="0" w:firstLineChars="0"/>
        <w:jc w:val="both"/>
        <w:textAlignment w:val="baseline"/>
        <w:rPr>
          <w:rStyle w:val="15"/>
          <w:rFonts w:hint="default" w:ascii="华文中宋" w:hAnsi="华文中宋" w:eastAsia="华文中宋"/>
          <w:b/>
          <w:bCs/>
          <w:i w:val="0"/>
          <w:caps w:val="0"/>
          <w:spacing w:val="0"/>
          <w:w w:val="100"/>
          <w:kern w:val="2"/>
          <w:sz w:val="32"/>
          <w:szCs w:val="32"/>
          <w:lang w:val="en-US" w:eastAsia="zh-CN" w:bidi="ar-SA"/>
        </w:rPr>
      </w:pPr>
      <w:r>
        <w:rPr>
          <w:rStyle w:val="15"/>
          <w:rFonts w:hint="eastAsia" w:ascii="华文中宋" w:hAnsi="华文中宋" w:eastAsia="华文中宋"/>
          <w:b/>
          <w:bCs/>
          <w:i w:val="0"/>
          <w:caps w:val="0"/>
          <w:spacing w:val="0"/>
          <w:w w:val="100"/>
          <w:kern w:val="2"/>
          <w:sz w:val="32"/>
          <w:szCs w:val="32"/>
          <w:lang w:val="en-US" w:eastAsia="zh-CN" w:bidi="ar-SA"/>
        </w:rPr>
        <w:t>其他应说明的事项</w:t>
      </w:r>
    </w:p>
    <w:p w14:paraId="59157A97">
      <w:pPr>
        <w:keepNext w:val="0"/>
        <w:keepLines w:val="0"/>
        <w:pageBreakBefore w:val="0"/>
        <w:numPr>
          <w:ilvl w:val="0"/>
          <w:numId w:val="0"/>
        </w:numPr>
        <w:kinsoku/>
        <w:wordWrap/>
        <w:overflowPunct/>
        <w:topLinePunct w:val="0"/>
        <w:bidi w:val="0"/>
        <w:adjustRightInd/>
        <w:snapToGrid/>
        <w:spacing w:before="0" w:beforeAutospacing="0" w:after="0" w:afterAutospacing="0" w:line="560" w:lineRule="exact"/>
        <w:ind w:leftChars="0"/>
        <w:jc w:val="both"/>
        <w:textAlignment w:val="baseline"/>
        <w:rPr>
          <w:rFonts w:hint="default" w:ascii="仿宋_GB2312" w:eastAsia="仿宋_GB2312"/>
          <w:sz w:val="32"/>
          <w:szCs w:val="32"/>
          <w:lang w:val="en-US" w:eastAsia="zh-CN"/>
        </w:rPr>
      </w:pPr>
      <w:r>
        <w:rPr>
          <w:rStyle w:val="15"/>
          <w:rFonts w:hint="eastAsia" w:ascii="华文中宋" w:hAnsi="华文中宋" w:eastAsia="华文中宋"/>
          <w:b w:val="0"/>
          <w:i w:val="0"/>
          <w:caps w:val="0"/>
          <w:spacing w:val="0"/>
          <w:w w:val="100"/>
          <w:kern w:val="2"/>
          <w:sz w:val="32"/>
          <w:szCs w:val="32"/>
          <w:lang w:val="en-US" w:eastAsia="zh-CN" w:bidi="ar-SA"/>
        </w:rPr>
        <w:t xml:space="preserve">    </w:t>
      </w:r>
      <w:r>
        <w:rPr>
          <w:rFonts w:hint="eastAsia" w:ascii="仿宋_GB2312" w:eastAsia="仿宋_GB2312"/>
          <w:sz w:val="32"/>
          <w:szCs w:val="32"/>
          <w:lang w:val="en-US" w:eastAsia="zh-CN"/>
        </w:rPr>
        <w:t>无</w:t>
      </w:r>
    </w:p>
    <w:p w14:paraId="3AE3AD7D">
      <w:pPr>
        <w:keepNext w:val="0"/>
        <w:keepLines w:val="0"/>
        <w:pageBreakBefore w:val="0"/>
        <w:kinsoku/>
        <w:wordWrap/>
        <w:overflowPunct/>
        <w:topLinePunct w:val="0"/>
        <w:bidi w:val="0"/>
        <w:adjustRightInd/>
        <w:spacing w:beforeLines="50" w:line="560" w:lineRule="exact"/>
        <w:rPr>
          <w:rFonts w:ascii="仿宋_GB2312" w:eastAsia="仿宋_GB2312"/>
          <w:sz w:val="32"/>
          <w:szCs w:val="32"/>
        </w:rPr>
      </w:pPr>
      <w:r>
        <w:rPr>
          <w:rFonts w:hint="eastAsia" w:ascii="仿宋_GB2312" w:eastAsia="仿宋_GB2312"/>
          <w:sz w:val="32"/>
          <w:szCs w:val="32"/>
        </w:rPr>
        <w:t xml:space="preserve">              </w:t>
      </w:r>
    </w:p>
    <w:p w14:paraId="7FE9BF7B">
      <w:pPr>
        <w:snapToGrid w:val="0"/>
        <w:spacing w:line="600" w:lineRule="exact"/>
        <w:ind w:firstLine="480"/>
        <w:jc w:val="right"/>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桑芽茶加工技术规程</w:t>
      </w:r>
      <w:r>
        <w:rPr>
          <w:rFonts w:hint="eastAsia" w:ascii="仿宋_GB2312" w:eastAsia="仿宋_GB2312"/>
          <w:sz w:val="32"/>
          <w:szCs w:val="32"/>
          <w:lang w:eastAsia="zh-CN"/>
        </w:rPr>
        <w:t>》标准起草小组</w:t>
      </w:r>
    </w:p>
    <w:p w14:paraId="2E822130">
      <w:pPr>
        <w:snapToGrid w:val="0"/>
        <w:spacing w:line="600" w:lineRule="exact"/>
        <w:ind w:firstLine="480"/>
        <w:jc w:val="right"/>
        <w:rPr>
          <w:rFonts w:hint="eastAsia" w:ascii="仿宋_GB2312" w:eastAsia="仿宋_GB2312"/>
          <w:sz w:val="32"/>
          <w:szCs w:val="32"/>
          <w:lang w:eastAsia="zh-CN"/>
        </w:rPr>
      </w:pPr>
      <w:r>
        <w:rPr>
          <w:rFonts w:hint="eastAsia" w:ascii="仿宋_GB2312" w:eastAsia="仿宋_GB2312"/>
          <w:sz w:val="32"/>
          <w:szCs w:val="32"/>
          <w:lang w:eastAsia="zh-CN"/>
        </w:rPr>
        <w:t xml:space="preserve">                                202</w:t>
      </w:r>
      <w:r>
        <w:rPr>
          <w:rFonts w:hint="eastAsia" w:ascii="仿宋_GB2312" w:eastAsia="仿宋_GB2312"/>
          <w:sz w:val="32"/>
          <w:szCs w:val="32"/>
          <w:lang w:val="en-US" w:eastAsia="zh-CN"/>
        </w:rPr>
        <w:t>5</w:t>
      </w:r>
      <w:r>
        <w:rPr>
          <w:rFonts w:hint="eastAsia" w:ascii="仿宋_GB2312" w:eastAsia="仿宋_GB2312"/>
          <w:sz w:val="32"/>
          <w:szCs w:val="32"/>
          <w:lang w:eastAsia="zh-CN"/>
        </w:rPr>
        <w:t>年</w:t>
      </w:r>
      <w:r>
        <w:rPr>
          <w:rFonts w:hint="eastAsia" w:ascii="仿宋_GB2312" w:eastAsia="仿宋_GB2312"/>
          <w:sz w:val="32"/>
          <w:szCs w:val="32"/>
          <w:lang w:val="en-US" w:eastAsia="zh-CN"/>
        </w:rPr>
        <w:t>1</w:t>
      </w:r>
      <w:r>
        <w:rPr>
          <w:rFonts w:hint="eastAsia" w:ascii="仿宋_GB2312" w:eastAsia="仿宋_GB2312"/>
          <w:sz w:val="32"/>
          <w:szCs w:val="32"/>
          <w:lang w:eastAsia="zh-CN"/>
        </w:rPr>
        <w:t>月</w:t>
      </w:r>
      <w:r>
        <w:rPr>
          <w:rFonts w:hint="eastAsia" w:ascii="仿宋_GB2312" w:eastAsia="仿宋_GB2312"/>
          <w:sz w:val="32"/>
          <w:szCs w:val="32"/>
          <w:lang w:val="en-US" w:eastAsia="zh-CN"/>
        </w:rPr>
        <w:t>3</w:t>
      </w:r>
      <w:r>
        <w:rPr>
          <w:rFonts w:hint="eastAsia" w:ascii="仿宋_GB2312" w:eastAsia="仿宋_GB2312"/>
          <w:sz w:val="32"/>
          <w:szCs w:val="32"/>
          <w:lang w:eastAsia="zh-CN"/>
        </w:rPr>
        <w:t>日</w:t>
      </w:r>
    </w:p>
    <w:p w14:paraId="33F23225"/>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1ABA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F17C70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4F17C70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CB66B">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E016"/>
    <w:multiLevelType w:val="singleLevel"/>
    <w:tmpl w:val="8E88E016"/>
    <w:lvl w:ilvl="0" w:tentative="0">
      <w:start w:val="1"/>
      <w:numFmt w:val="chineseCounting"/>
      <w:suff w:val="nothing"/>
      <w:lvlText w:val="%1、"/>
      <w:lvlJc w:val="left"/>
      <w:rPr>
        <w:rFonts w:hint="eastAsia"/>
      </w:rPr>
    </w:lvl>
  </w:abstractNum>
  <w:abstractNum w:abstractNumId="1">
    <w:nsid w:val="925DC7C6"/>
    <w:multiLevelType w:val="singleLevel"/>
    <w:tmpl w:val="925DC7C6"/>
    <w:lvl w:ilvl="0" w:tentative="0">
      <w:start w:val="5"/>
      <w:numFmt w:val="chineseCounting"/>
      <w:suff w:val="nothing"/>
      <w:lvlText w:val="%1、"/>
      <w:lvlJc w:val="left"/>
      <w:rPr>
        <w:rFonts w:hint="eastAsia"/>
      </w:rPr>
    </w:lvl>
  </w:abstractNum>
  <w:abstractNum w:abstractNumId="2">
    <w:nsid w:val="DBB93C45"/>
    <w:multiLevelType w:val="singleLevel"/>
    <w:tmpl w:val="DBB93C45"/>
    <w:lvl w:ilvl="0" w:tentative="0">
      <w:start w:val="2"/>
      <w:numFmt w:val="chineseCounting"/>
      <w:suff w:val="nothing"/>
      <w:lvlText w:val="%1、"/>
      <w:lvlJc w:val="left"/>
      <w:rPr>
        <w:rFonts w:hint="eastAsia"/>
      </w:rPr>
    </w:lvl>
  </w:abstractNum>
  <w:abstractNum w:abstractNumId="3">
    <w:nsid w:val="F88DEA94"/>
    <w:multiLevelType w:val="singleLevel"/>
    <w:tmpl w:val="F88DEA94"/>
    <w:lvl w:ilvl="0" w:tentative="0">
      <w:start w:val="8"/>
      <w:numFmt w:val="chineseCounting"/>
      <w:suff w:val="nothing"/>
      <w:lvlText w:val="%1、"/>
      <w:lvlJc w:val="left"/>
      <w:rPr>
        <w:rFonts w:hint="eastAsia"/>
      </w:rPr>
    </w:lvl>
  </w:abstractNum>
  <w:abstractNum w:abstractNumId="4">
    <w:nsid w:val="49073500"/>
    <w:multiLevelType w:val="singleLevel"/>
    <w:tmpl w:val="49073500"/>
    <w:lvl w:ilvl="0" w:tentative="0">
      <w:start w:val="3"/>
      <w:numFmt w:val="chineseCounting"/>
      <w:suff w:val="nothing"/>
      <w:lvlText w:val="（%1）"/>
      <w:lvlJc w:val="left"/>
      <w:rPr>
        <w:rFonts w:hint="eastAsia"/>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OTAxNzE1NDg5YmZiM2NkYTEzNzI5MGUzNDRlZjMifQ=="/>
  </w:docVars>
  <w:rsids>
    <w:rsidRoot w:val="00117485"/>
    <w:rsid w:val="00085F81"/>
    <w:rsid w:val="00117485"/>
    <w:rsid w:val="00341C77"/>
    <w:rsid w:val="003639FF"/>
    <w:rsid w:val="003B0842"/>
    <w:rsid w:val="004E2E43"/>
    <w:rsid w:val="005E73B4"/>
    <w:rsid w:val="00A25D33"/>
    <w:rsid w:val="00A57984"/>
    <w:rsid w:val="00BB73BF"/>
    <w:rsid w:val="00BD7017"/>
    <w:rsid w:val="00C25B69"/>
    <w:rsid w:val="00C9199B"/>
    <w:rsid w:val="00D76542"/>
    <w:rsid w:val="00DE605D"/>
    <w:rsid w:val="00FC5202"/>
    <w:rsid w:val="04D8518E"/>
    <w:rsid w:val="0D0B654A"/>
    <w:rsid w:val="0D4344B5"/>
    <w:rsid w:val="0EB977F0"/>
    <w:rsid w:val="130B4889"/>
    <w:rsid w:val="13694F07"/>
    <w:rsid w:val="14880EBF"/>
    <w:rsid w:val="15EB7437"/>
    <w:rsid w:val="16440A50"/>
    <w:rsid w:val="17252229"/>
    <w:rsid w:val="173C5373"/>
    <w:rsid w:val="1B4230EA"/>
    <w:rsid w:val="1BAD4238"/>
    <w:rsid w:val="1BE605C1"/>
    <w:rsid w:val="251406E0"/>
    <w:rsid w:val="26291DC9"/>
    <w:rsid w:val="28666C14"/>
    <w:rsid w:val="2AE52C67"/>
    <w:rsid w:val="30941AA2"/>
    <w:rsid w:val="32504A5F"/>
    <w:rsid w:val="36A953E0"/>
    <w:rsid w:val="3A211C22"/>
    <w:rsid w:val="3ABE38E2"/>
    <w:rsid w:val="403213D2"/>
    <w:rsid w:val="423F047D"/>
    <w:rsid w:val="43697648"/>
    <w:rsid w:val="44165F9F"/>
    <w:rsid w:val="47916B77"/>
    <w:rsid w:val="49AB1508"/>
    <w:rsid w:val="4B8B7843"/>
    <w:rsid w:val="4DDE1B4A"/>
    <w:rsid w:val="50A70C7B"/>
    <w:rsid w:val="52E11A47"/>
    <w:rsid w:val="565F3DA6"/>
    <w:rsid w:val="56FB21A0"/>
    <w:rsid w:val="614B658F"/>
    <w:rsid w:val="624500D8"/>
    <w:rsid w:val="62C27D80"/>
    <w:rsid w:val="632A1297"/>
    <w:rsid w:val="6D7C34AA"/>
    <w:rsid w:val="701E6662"/>
    <w:rsid w:val="7204624A"/>
    <w:rsid w:val="72E36B84"/>
    <w:rsid w:val="73CF7F8E"/>
    <w:rsid w:val="77272607"/>
    <w:rsid w:val="7B0B2542"/>
    <w:rsid w:val="7DCC31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0"/>
    <w:rPr>
      <w:sz w:val="18"/>
      <w:szCs w:val="18"/>
    </w:rPr>
  </w:style>
  <w:style w:type="character" w:customStyle="1" w:styleId="9">
    <w:name w:val="页脚 Char"/>
    <w:basedOn w:val="7"/>
    <w:link w:val="3"/>
    <w:qFormat/>
    <w:uiPriority w:val="0"/>
    <w:rPr>
      <w:sz w:val="18"/>
      <w:szCs w:val="18"/>
    </w:rPr>
  </w:style>
  <w:style w:type="paragraph" w:customStyle="1" w:styleId="10">
    <w:name w:val="段"/>
    <w:link w:val="1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11">
    <w:name w:val="一级条标题"/>
    <w:next w:val="10"/>
    <w:qFormat/>
    <w:uiPriority w:val="0"/>
    <w:pPr>
      <w:spacing w:beforeLines="50" w:afterLines="50"/>
      <w:outlineLvl w:val="2"/>
    </w:pPr>
    <w:rPr>
      <w:rFonts w:ascii="黑体" w:hAnsi="Times New Roman" w:eastAsia="黑体" w:cs="Times New Roman"/>
      <w:kern w:val="0"/>
      <w:sz w:val="21"/>
      <w:szCs w:val="21"/>
      <w:lang w:val="en-US" w:eastAsia="zh-CN" w:bidi="ar-SA"/>
    </w:rPr>
  </w:style>
  <w:style w:type="character" w:customStyle="1" w:styleId="12">
    <w:name w:val="段 Char"/>
    <w:basedOn w:val="7"/>
    <w:link w:val="10"/>
    <w:qFormat/>
    <w:uiPriority w:val="0"/>
    <w:rPr>
      <w:rFonts w:ascii="宋体" w:hAnsi="Times New Roman" w:eastAsia="宋体" w:cs="Times New Roman"/>
      <w:kern w:val="0"/>
      <w:szCs w:val="20"/>
    </w:rPr>
  </w:style>
  <w:style w:type="paragraph" w:customStyle="1" w:styleId="13">
    <w:name w:val="章标题"/>
    <w:next w:val="10"/>
    <w:qFormat/>
    <w:uiPriority w:val="0"/>
    <w:pPr>
      <w:tabs>
        <w:tab w:val="left" w:pos="720"/>
      </w:tabs>
      <w:spacing w:beforeLines="100" w:afterLines="100"/>
      <w:ind w:left="105" w:hanging="720"/>
      <w:jc w:val="both"/>
      <w:outlineLvl w:val="1"/>
    </w:pPr>
    <w:rPr>
      <w:rFonts w:ascii="黑体" w:hAnsi="Times New Roman" w:eastAsia="黑体" w:cs="Times New Roman"/>
      <w:kern w:val="0"/>
      <w:sz w:val="21"/>
      <w:szCs w:val="20"/>
      <w:lang w:val="en-US" w:eastAsia="zh-CN" w:bidi="ar-SA"/>
    </w:rPr>
  </w:style>
  <w:style w:type="paragraph" w:styleId="14">
    <w:name w:val="List Paragraph"/>
    <w:basedOn w:val="1"/>
    <w:qFormat/>
    <w:uiPriority w:val="34"/>
    <w:pPr>
      <w:ind w:firstLine="420" w:firstLineChars="200"/>
    </w:pPr>
  </w:style>
  <w:style w:type="character" w:customStyle="1" w:styleId="15">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2885</Words>
  <Characters>2996</Characters>
  <Lines>12</Lines>
  <Paragraphs>3</Paragraphs>
  <TotalTime>6</TotalTime>
  <ScaleCrop>false</ScaleCrop>
  <LinksUpToDate>false</LinksUpToDate>
  <CharactersWithSpaces>3107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2021-04-08T10:34:00Z</dcterms:created>
  <dc:creator>DELL</dc:creator>
  <cp:lastModifiedBy>陈星瞳</cp:lastModifiedBy>
  <cp:lastPrinted>2022-04-07T14:44:00Z</cp:lastPrinted>
  <dcterms:modified xsi:type="dcterms:W3CDTF">2025-01-09T02:35:15Z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4BD4D27BE8024DE3B8C1C13C07E871D8_13</vt:lpwstr>
  </property>
  <property fmtid="{D5CDD505-2E9C-101B-9397-08002B2CF9AE}" pid="4" name="KSOTemplateDocerSaveRecord">
    <vt:lpwstr>eyJoZGlkIjoiNzhiMjFhNjIyYzE0ZWNjMWI5NjJlODEyYTM4NmRiY2EiLCJ1c2VySWQiOiIxMjEzNjU0MDg4In0=</vt:lpwstr>
  </property>
</Properties>
</file>